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E92" w:rsidRDefault="00D93E92" w:rsidP="006B32BB">
      <w:pPr>
        <w:pStyle w:val="Nessunaspaziatura"/>
        <w:jc w:val="center"/>
        <w:rPr>
          <w:rFonts w:ascii="Arial" w:hAnsi="Arial" w:cs="Arial"/>
          <w:b/>
          <w:sz w:val="28"/>
          <w:szCs w:val="28"/>
        </w:rPr>
      </w:pPr>
      <w:bookmarkStart w:id="0" w:name="_GoBack"/>
      <w:bookmarkEnd w:id="0"/>
    </w:p>
    <w:p w:rsidR="00D93E92" w:rsidRDefault="00D93E92" w:rsidP="006B32BB">
      <w:pPr>
        <w:pStyle w:val="Nessunaspaziatura"/>
        <w:jc w:val="center"/>
        <w:rPr>
          <w:rFonts w:ascii="Arial" w:hAnsi="Arial" w:cs="Arial"/>
          <w:b/>
          <w:sz w:val="28"/>
          <w:szCs w:val="28"/>
        </w:rPr>
      </w:pPr>
    </w:p>
    <w:p w:rsidR="00D93E92" w:rsidRDefault="00D93E92" w:rsidP="006B32BB">
      <w:pPr>
        <w:pStyle w:val="Nessunaspaziatura"/>
        <w:jc w:val="center"/>
        <w:rPr>
          <w:rFonts w:ascii="Arial" w:hAnsi="Arial" w:cs="Arial"/>
          <w:b/>
          <w:sz w:val="28"/>
          <w:szCs w:val="28"/>
        </w:rPr>
      </w:pPr>
    </w:p>
    <w:p w:rsidR="00DD658D" w:rsidRDefault="00D93E92" w:rsidP="006B32BB">
      <w:pPr>
        <w:pStyle w:val="Nessunaspaziatura"/>
        <w:jc w:val="center"/>
        <w:rPr>
          <w:rFonts w:ascii="Arial" w:hAnsi="Arial" w:cs="Arial"/>
          <w:b/>
          <w:sz w:val="28"/>
          <w:szCs w:val="28"/>
        </w:rPr>
      </w:pPr>
      <w:r>
        <w:rPr>
          <w:noProof/>
        </w:rPr>
        <w:drawing>
          <wp:inline distT="0" distB="0" distL="0" distR="0">
            <wp:extent cx="3333750" cy="3333750"/>
            <wp:effectExtent l="19050" t="0" r="0" b="0"/>
            <wp:docPr id="3" name="Immagine 3" descr="Vignola-Falesina – 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gnola-Falesina – Stemma"/>
                    <pic:cNvPicPr>
                      <a:picLocks noChangeAspect="1" noChangeArrowheads="1"/>
                    </pic:cNvPicPr>
                  </pic:nvPicPr>
                  <pic:blipFill>
                    <a:blip r:embed="rId9"/>
                    <a:srcRect/>
                    <a:stretch>
                      <a:fillRect/>
                    </a:stretch>
                  </pic:blipFill>
                  <pic:spPr bwMode="auto">
                    <a:xfrm>
                      <a:off x="0" y="0"/>
                      <a:ext cx="3333750" cy="3333750"/>
                    </a:xfrm>
                    <a:prstGeom prst="rect">
                      <a:avLst/>
                    </a:prstGeom>
                    <a:noFill/>
                    <a:ln w="9525">
                      <a:noFill/>
                      <a:miter lim="800000"/>
                      <a:headEnd/>
                      <a:tailEnd/>
                    </a:ln>
                  </pic:spPr>
                </pic:pic>
              </a:graphicData>
            </a:graphic>
          </wp:inline>
        </w:drawing>
      </w:r>
    </w:p>
    <w:p w:rsidR="00D93E92" w:rsidRDefault="00D93E92" w:rsidP="006B32BB">
      <w:pPr>
        <w:pStyle w:val="Nessunaspaziatura"/>
        <w:jc w:val="center"/>
        <w:rPr>
          <w:rFonts w:ascii="Arial" w:hAnsi="Arial" w:cs="Arial"/>
          <w:b/>
          <w:sz w:val="28"/>
          <w:szCs w:val="28"/>
        </w:rPr>
      </w:pPr>
    </w:p>
    <w:p w:rsidR="00D93E92" w:rsidRDefault="00D93E92" w:rsidP="006B32BB">
      <w:pPr>
        <w:pStyle w:val="Nessunaspaziatura"/>
        <w:jc w:val="center"/>
        <w:rPr>
          <w:rFonts w:ascii="Arial" w:hAnsi="Arial" w:cs="Arial"/>
          <w:b/>
          <w:sz w:val="28"/>
          <w:szCs w:val="28"/>
        </w:rPr>
      </w:pPr>
    </w:p>
    <w:p w:rsidR="00D93E92" w:rsidRDefault="00D93E92" w:rsidP="006B32BB">
      <w:pPr>
        <w:pStyle w:val="Nessunaspaziatura"/>
        <w:jc w:val="center"/>
        <w:rPr>
          <w:rFonts w:ascii="Arial" w:hAnsi="Arial" w:cs="Arial"/>
          <w:b/>
          <w:sz w:val="28"/>
          <w:szCs w:val="28"/>
        </w:rPr>
      </w:pPr>
    </w:p>
    <w:p w:rsidR="00D93E92" w:rsidRDefault="00D93E92" w:rsidP="006B32BB">
      <w:pPr>
        <w:pStyle w:val="Nessunaspaziatura"/>
        <w:jc w:val="center"/>
        <w:rPr>
          <w:rFonts w:ascii="Arial" w:hAnsi="Arial" w:cs="Arial"/>
          <w:b/>
          <w:sz w:val="28"/>
          <w:szCs w:val="28"/>
        </w:rPr>
      </w:pPr>
    </w:p>
    <w:p w:rsidR="006B32BB" w:rsidRPr="001B2A34" w:rsidRDefault="006B32BB" w:rsidP="006B32BB">
      <w:pPr>
        <w:pStyle w:val="Nessunaspaziatura"/>
        <w:jc w:val="center"/>
        <w:rPr>
          <w:rFonts w:ascii="Arial" w:hAnsi="Arial" w:cs="Arial"/>
          <w:b/>
          <w:sz w:val="28"/>
          <w:szCs w:val="28"/>
        </w:rPr>
      </w:pPr>
      <w:r w:rsidRPr="001B2A34">
        <w:rPr>
          <w:rFonts w:ascii="Arial" w:hAnsi="Arial" w:cs="Arial"/>
          <w:b/>
          <w:sz w:val="28"/>
          <w:szCs w:val="28"/>
        </w:rPr>
        <w:t>Comune di</w:t>
      </w:r>
      <w:r w:rsidR="00D93E92">
        <w:rPr>
          <w:rFonts w:ascii="Arial" w:hAnsi="Arial" w:cs="Arial"/>
          <w:b/>
          <w:sz w:val="28"/>
          <w:szCs w:val="28"/>
        </w:rPr>
        <w:t xml:space="preserve"> Vignola Falesina</w:t>
      </w:r>
    </w:p>
    <w:p w:rsidR="006B32BB" w:rsidRPr="001B2A34" w:rsidRDefault="006B32BB" w:rsidP="006B32BB">
      <w:pPr>
        <w:pStyle w:val="Nessunaspaziatura"/>
        <w:jc w:val="center"/>
        <w:rPr>
          <w:rFonts w:ascii="Arial" w:hAnsi="Arial" w:cs="Arial"/>
          <w:b/>
          <w:sz w:val="28"/>
          <w:szCs w:val="28"/>
        </w:rPr>
      </w:pPr>
    </w:p>
    <w:p w:rsidR="00D32F57" w:rsidRDefault="00D32F57">
      <w:pPr>
        <w:widowControl w:val="0"/>
        <w:spacing w:line="480" w:lineRule="atLeast"/>
        <w:jc w:val="center"/>
        <w:rPr>
          <w:rFonts w:ascii="Arial" w:hAnsi="Arial" w:cs="Arial"/>
          <w:b/>
          <w:bCs/>
          <w:sz w:val="28"/>
          <w:szCs w:val="28"/>
        </w:rPr>
      </w:pPr>
    </w:p>
    <w:p w:rsidR="00D93E92" w:rsidRDefault="00D93E92">
      <w:pPr>
        <w:widowControl w:val="0"/>
        <w:spacing w:line="480" w:lineRule="atLeast"/>
        <w:jc w:val="center"/>
        <w:rPr>
          <w:rFonts w:ascii="Arial" w:hAnsi="Arial" w:cs="Arial"/>
          <w:b/>
          <w:bCs/>
          <w:sz w:val="28"/>
          <w:szCs w:val="28"/>
        </w:rPr>
      </w:pPr>
    </w:p>
    <w:p w:rsidR="00872AD0" w:rsidRDefault="00872AD0">
      <w:pPr>
        <w:widowControl w:val="0"/>
        <w:spacing w:line="480" w:lineRule="atLeast"/>
        <w:jc w:val="center"/>
        <w:rPr>
          <w:rFonts w:ascii="Arial" w:hAnsi="Arial" w:cs="Arial"/>
          <w:b/>
          <w:bCs/>
          <w:sz w:val="28"/>
          <w:szCs w:val="28"/>
        </w:rPr>
      </w:pPr>
    </w:p>
    <w:p w:rsidR="00444A5A" w:rsidRDefault="001F7F54" w:rsidP="00B77370">
      <w:pPr>
        <w:pStyle w:val="Nessunaspaziatura"/>
        <w:jc w:val="center"/>
        <w:rPr>
          <w:rFonts w:ascii="Arial" w:hAnsi="Arial" w:cs="Arial"/>
          <w:b/>
          <w:sz w:val="44"/>
          <w:szCs w:val="44"/>
        </w:rPr>
      </w:pPr>
      <w:r w:rsidRPr="006E361D">
        <w:rPr>
          <w:rFonts w:ascii="Arial" w:hAnsi="Arial" w:cs="Arial"/>
          <w:b/>
          <w:sz w:val="44"/>
          <w:szCs w:val="44"/>
        </w:rPr>
        <w:t xml:space="preserve">RELAZIONE </w:t>
      </w:r>
      <w:r w:rsidR="00D644E9">
        <w:rPr>
          <w:rFonts w:ascii="Arial" w:hAnsi="Arial" w:cs="Arial"/>
          <w:b/>
          <w:sz w:val="44"/>
          <w:szCs w:val="44"/>
        </w:rPr>
        <w:t>A</w:t>
      </w:r>
      <w:r w:rsidR="001B4CEC">
        <w:rPr>
          <w:rFonts w:ascii="Arial" w:hAnsi="Arial" w:cs="Arial"/>
          <w:b/>
          <w:sz w:val="44"/>
          <w:szCs w:val="44"/>
        </w:rPr>
        <w:t xml:space="preserve">LLA </w:t>
      </w:r>
      <w:r w:rsidR="00B77370">
        <w:rPr>
          <w:rFonts w:ascii="Arial" w:hAnsi="Arial" w:cs="Arial"/>
          <w:b/>
          <w:sz w:val="44"/>
          <w:szCs w:val="44"/>
        </w:rPr>
        <w:br/>
      </w:r>
      <w:r w:rsidR="001B4CEC">
        <w:rPr>
          <w:rFonts w:ascii="Arial" w:hAnsi="Arial" w:cs="Arial"/>
          <w:b/>
          <w:sz w:val="44"/>
          <w:szCs w:val="44"/>
        </w:rPr>
        <w:t>SITUAZIONE PATRIMONIALE</w:t>
      </w:r>
      <w:r w:rsidR="00B77370">
        <w:rPr>
          <w:rFonts w:ascii="Arial" w:hAnsi="Arial" w:cs="Arial"/>
          <w:b/>
          <w:sz w:val="44"/>
          <w:szCs w:val="44"/>
        </w:rPr>
        <w:t xml:space="preserve"> </w:t>
      </w:r>
      <w:r w:rsidR="00444A5A">
        <w:rPr>
          <w:rFonts w:ascii="Arial" w:hAnsi="Arial" w:cs="Arial"/>
          <w:b/>
          <w:sz w:val="44"/>
          <w:szCs w:val="44"/>
        </w:rPr>
        <w:t>AL 31.12.20</w:t>
      </w:r>
      <w:r w:rsidR="009F2384">
        <w:rPr>
          <w:rFonts w:ascii="Arial" w:hAnsi="Arial" w:cs="Arial"/>
          <w:b/>
          <w:sz w:val="44"/>
          <w:szCs w:val="44"/>
        </w:rPr>
        <w:t>21</w:t>
      </w:r>
    </w:p>
    <w:p w:rsidR="00D644E9" w:rsidRDefault="00D644E9" w:rsidP="00D644E9">
      <w:pPr>
        <w:pStyle w:val="Nessunaspaziatura"/>
        <w:jc w:val="center"/>
        <w:rPr>
          <w:rFonts w:ascii="Arial" w:hAnsi="Arial" w:cs="Arial"/>
          <w:b/>
          <w:sz w:val="44"/>
          <w:szCs w:val="44"/>
        </w:rPr>
      </w:pPr>
    </w:p>
    <w:p w:rsidR="00D93E92" w:rsidRDefault="00D93E92" w:rsidP="00D644E9">
      <w:pPr>
        <w:pStyle w:val="Nessunaspaziatura"/>
        <w:jc w:val="center"/>
        <w:rPr>
          <w:rFonts w:ascii="Arial" w:hAnsi="Arial" w:cs="Arial"/>
          <w:b/>
          <w:sz w:val="44"/>
          <w:szCs w:val="44"/>
        </w:rPr>
      </w:pPr>
    </w:p>
    <w:p w:rsidR="00D93E92" w:rsidRPr="00C61B44" w:rsidRDefault="00D93E92" w:rsidP="00D644E9">
      <w:pPr>
        <w:pStyle w:val="Nessunaspaziatura"/>
        <w:jc w:val="center"/>
        <w:rPr>
          <w:rFonts w:ascii="Arial" w:hAnsi="Arial" w:cs="Arial"/>
          <w:b/>
          <w:sz w:val="44"/>
          <w:szCs w:val="44"/>
        </w:rPr>
      </w:pPr>
    </w:p>
    <w:p w:rsidR="00444A5A" w:rsidRPr="00632E2C" w:rsidRDefault="00444A5A" w:rsidP="00444A5A">
      <w:pPr>
        <w:pStyle w:val="Corpodeltesto1"/>
        <w:rPr>
          <w:rFonts w:ascii="Arial" w:hAnsi="Arial" w:cs="Arial"/>
        </w:rPr>
      </w:pPr>
    </w:p>
    <w:p w:rsidR="00A667C8" w:rsidRPr="006B32BB" w:rsidRDefault="00BD0A1D" w:rsidP="00B77370">
      <w:pPr>
        <w:pStyle w:val="TITOLO10"/>
        <w:jc w:val="left"/>
      </w:pPr>
      <w:bookmarkStart w:id="1" w:name="_Toc2608962"/>
      <w:bookmarkStart w:id="2" w:name="_Toc32933007"/>
      <w:r w:rsidRPr="006B32BB">
        <w:lastRenderedPageBreak/>
        <w:t>G</w:t>
      </w:r>
      <w:r w:rsidR="00A667C8" w:rsidRPr="006B32BB">
        <w:t>li obblighi di contabilità patrimoniale</w:t>
      </w:r>
      <w:bookmarkEnd w:id="1"/>
      <w:bookmarkEnd w:id="2"/>
    </w:p>
    <w:p w:rsidR="001867C1" w:rsidRDefault="001B4CEC" w:rsidP="001867C1">
      <w:pPr>
        <w:spacing w:line="360" w:lineRule="auto"/>
        <w:rPr>
          <w:rFonts w:ascii="Arial" w:hAnsi="Arial" w:cs="Arial"/>
          <w:color w:val="000000"/>
        </w:rPr>
      </w:pPr>
      <w:bookmarkStart w:id="3" w:name="XBRL_Tab_0009_1"/>
      <w:r w:rsidRPr="00125398">
        <w:rPr>
          <w:rFonts w:ascii="Arial" w:hAnsi="Arial" w:cs="Arial"/>
          <w:color w:val="000000"/>
        </w:rPr>
        <w:t>Ai sensi dell’articolo 232, comma 2, del D.lgs. 267/2000 (Tuel), gli enti che rinviano la contabilità economico patrimoniale con riferimento all’esercizio 20</w:t>
      </w:r>
      <w:r w:rsidR="00A440CB">
        <w:rPr>
          <w:rFonts w:ascii="Arial" w:hAnsi="Arial" w:cs="Arial"/>
          <w:color w:val="000000"/>
        </w:rPr>
        <w:t>2</w:t>
      </w:r>
      <w:r w:rsidR="009F2384">
        <w:rPr>
          <w:rFonts w:ascii="Arial" w:hAnsi="Arial" w:cs="Arial"/>
          <w:color w:val="000000"/>
        </w:rPr>
        <w:t>1</w:t>
      </w:r>
      <w:r w:rsidR="005A2942">
        <w:rPr>
          <w:rFonts w:ascii="Arial" w:hAnsi="Arial" w:cs="Arial"/>
          <w:color w:val="000000"/>
        </w:rPr>
        <w:t>,</w:t>
      </w:r>
      <w:r w:rsidRPr="00125398">
        <w:rPr>
          <w:rFonts w:ascii="Arial" w:hAnsi="Arial" w:cs="Arial"/>
          <w:color w:val="000000"/>
        </w:rPr>
        <w:t xml:space="preserve"> allegano al rendiconto 20</w:t>
      </w:r>
      <w:r w:rsidR="00A440CB">
        <w:rPr>
          <w:rFonts w:ascii="Arial" w:hAnsi="Arial" w:cs="Arial"/>
          <w:color w:val="000000"/>
        </w:rPr>
        <w:t>2</w:t>
      </w:r>
      <w:r w:rsidR="009F2384">
        <w:rPr>
          <w:rFonts w:ascii="Arial" w:hAnsi="Arial" w:cs="Arial"/>
          <w:color w:val="000000"/>
        </w:rPr>
        <w:t>1</w:t>
      </w:r>
      <w:r w:rsidRPr="00125398">
        <w:rPr>
          <w:rFonts w:ascii="Arial" w:hAnsi="Arial" w:cs="Arial"/>
          <w:color w:val="000000"/>
        </w:rPr>
        <w:t xml:space="preserve"> una situazione patrimoniale al 31 dicembre 20</w:t>
      </w:r>
      <w:r w:rsidR="009F2384">
        <w:rPr>
          <w:rFonts w:ascii="Arial" w:hAnsi="Arial" w:cs="Arial"/>
          <w:color w:val="000000"/>
        </w:rPr>
        <w:t>21</w:t>
      </w:r>
      <w:r w:rsidRPr="00125398">
        <w:rPr>
          <w:rFonts w:ascii="Arial" w:hAnsi="Arial" w:cs="Arial"/>
          <w:color w:val="000000"/>
        </w:rPr>
        <w:t xml:space="preserve"> redatta secondo lo schema di cui all’allegato n. 10 al decreto legislativo 23 giugno 2011, n. 118, e con modalità semplificate individuate </w:t>
      </w:r>
      <w:r w:rsidR="001867C1">
        <w:rPr>
          <w:rFonts w:ascii="Arial" w:hAnsi="Arial" w:cs="Arial"/>
          <w:color w:val="000000"/>
        </w:rPr>
        <w:t>e definite dall’allegato A al decreto del 1</w:t>
      </w:r>
      <w:r w:rsidR="00350EF9">
        <w:rPr>
          <w:rFonts w:ascii="Arial" w:hAnsi="Arial" w:cs="Arial"/>
          <w:color w:val="000000"/>
        </w:rPr>
        <w:t>2</w:t>
      </w:r>
      <w:r w:rsidR="001867C1">
        <w:rPr>
          <w:rFonts w:ascii="Arial" w:hAnsi="Arial" w:cs="Arial"/>
          <w:color w:val="000000"/>
        </w:rPr>
        <w:t xml:space="preserve"> </w:t>
      </w:r>
      <w:r w:rsidR="00350EF9">
        <w:rPr>
          <w:rFonts w:ascii="Arial" w:hAnsi="Arial" w:cs="Arial"/>
          <w:color w:val="000000"/>
        </w:rPr>
        <w:t>Ottobre</w:t>
      </w:r>
      <w:r w:rsidR="001867C1">
        <w:rPr>
          <w:rFonts w:ascii="Arial" w:hAnsi="Arial" w:cs="Arial"/>
          <w:color w:val="000000"/>
        </w:rPr>
        <w:t xml:space="preserve"> 202</w:t>
      </w:r>
      <w:r w:rsidR="00350EF9">
        <w:rPr>
          <w:rFonts w:ascii="Arial" w:hAnsi="Arial" w:cs="Arial"/>
          <w:color w:val="000000"/>
        </w:rPr>
        <w:t>1</w:t>
      </w:r>
      <w:r w:rsidR="001867C1">
        <w:rPr>
          <w:rFonts w:ascii="Arial" w:hAnsi="Arial" w:cs="Arial"/>
          <w:color w:val="000000"/>
        </w:rPr>
        <w:t xml:space="preserve">. </w:t>
      </w:r>
    </w:p>
    <w:p w:rsidR="001867C1" w:rsidRPr="001867C1" w:rsidRDefault="001867C1" w:rsidP="001867C1">
      <w:pPr>
        <w:spacing w:line="360" w:lineRule="auto"/>
        <w:rPr>
          <w:rFonts w:ascii="Arial" w:hAnsi="Arial" w:cs="Arial"/>
          <w:color w:val="000000"/>
        </w:rPr>
      </w:pPr>
      <w:r w:rsidRPr="001867C1">
        <w:rPr>
          <w:rFonts w:ascii="Arial" w:hAnsi="Arial" w:cs="Arial"/>
          <w:color w:val="000000"/>
        </w:rPr>
        <w:t xml:space="preserve">Pertanto </w:t>
      </w:r>
      <w:r w:rsidRPr="000D454F">
        <w:rPr>
          <w:rFonts w:ascii="Arial" w:hAnsi="Arial" w:cs="Arial"/>
          <w:color w:val="000000"/>
        </w:rPr>
        <w:t>g</w:t>
      </w:r>
      <w:r w:rsidRPr="00D32565">
        <w:rPr>
          <w:rFonts w:ascii="Arial" w:hAnsi="Arial" w:cs="Arial"/>
          <w:bCs/>
          <w:color w:val="000000"/>
        </w:rPr>
        <w:t xml:space="preserve">li enti che, in attuazione dell’articolo 232, comma 2, del TUEL, si avvalgono della facoltà di non tenere la contabilità economico patrimoniale </w:t>
      </w:r>
      <w:r w:rsidRPr="00D32565">
        <w:rPr>
          <w:rFonts w:ascii="Arial" w:hAnsi="Arial" w:cs="Arial"/>
          <w:bCs/>
          <w:color w:val="000000"/>
          <w:u w:val="single"/>
        </w:rPr>
        <w:t>allegano al rendiconto la propria Situazione patrimoniale, utilizzando i seguenti dati:</w:t>
      </w:r>
    </w:p>
    <w:p w:rsidR="002B5F42" w:rsidRPr="001867C1" w:rsidRDefault="008930EE" w:rsidP="001867C1">
      <w:pPr>
        <w:numPr>
          <w:ilvl w:val="0"/>
          <w:numId w:val="26"/>
        </w:numPr>
        <w:spacing w:line="360" w:lineRule="auto"/>
        <w:jc w:val="both"/>
        <w:rPr>
          <w:rFonts w:ascii="Arial" w:hAnsi="Arial" w:cs="Arial"/>
          <w:color w:val="000000"/>
        </w:rPr>
      </w:pPr>
      <w:r w:rsidRPr="00D32565">
        <w:rPr>
          <w:rFonts w:ascii="Arial" w:hAnsi="Arial" w:cs="Arial"/>
          <w:bCs/>
          <w:color w:val="000000"/>
        </w:rPr>
        <w:t>inventario aggiornato alla data del 31 dicembre dell’anno cui si riferisce il rendiconto;</w:t>
      </w:r>
    </w:p>
    <w:p w:rsidR="002B5F42" w:rsidRPr="001867C1" w:rsidRDefault="008930EE" w:rsidP="001867C1">
      <w:pPr>
        <w:numPr>
          <w:ilvl w:val="0"/>
          <w:numId w:val="26"/>
        </w:numPr>
        <w:spacing w:line="360" w:lineRule="auto"/>
        <w:jc w:val="both"/>
        <w:rPr>
          <w:rFonts w:ascii="Arial" w:hAnsi="Arial" w:cs="Arial"/>
          <w:color w:val="000000"/>
        </w:rPr>
      </w:pPr>
      <w:r w:rsidRPr="00D32565">
        <w:rPr>
          <w:rFonts w:ascii="Arial" w:hAnsi="Arial" w:cs="Arial"/>
          <w:bCs/>
          <w:color w:val="000000"/>
        </w:rPr>
        <w:t>rendiconto definitivo;</w:t>
      </w:r>
    </w:p>
    <w:p w:rsidR="001867C1" w:rsidRPr="00D32565" w:rsidRDefault="008930EE" w:rsidP="00D32565">
      <w:pPr>
        <w:numPr>
          <w:ilvl w:val="0"/>
          <w:numId w:val="26"/>
        </w:numPr>
        <w:spacing w:line="360" w:lineRule="auto"/>
        <w:jc w:val="both"/>
        <w:rPr>
          <w:rFonts w:ascii="Arial" w:hAnsi="Arial" w:cs="Arial"/>
          <w:color w:val="000000"/>
        </w:rPr>
      </w:pPr>
      <w:r w:rsidRPr="00D32565">
        <w:rPr>
          <w:rFonts w:ascii="Arial" w:hAnsi="Arial" w:cs="Arial"/>
          <w:bCs/>
          <w:color w:val="000000"/>
        </w:rPr>
        <w:t>ultimo conto del patrimonio approvato o dell'ultima situazione patrimoniale approvata;</w:t>
      </w:r>
    </w:p>
    <w:p w:rsidR="001867C1" w:rsidRPr="001867C1" w:rsidRDefault="001867C1" w:rsidP="00D32565">
      <w:pPr>
        <w:numPr>
          <w:ilvl w:val="0"/>
          <w:numId w:val="26"/>
        </w:numPr>
        <w:spacing w:line="360" w:lineRule="auto"/>
        <w:jc w:val="both"/>
        <w:rPr>
          <w:rFonts w:ascii="Arial" w:hAnsi="Arial" w:cs="Arial"/>
          <w:color w:val="000000"/>
        </w:rPr>
      </w:pPr>
      <w:r w:rsidRPr="00D32565">
        <w:rPr>
          <w:rFonts w:ascii="Arial" w:hAnsi="Arial" w:cs="Arial"/>
          <w:bCs/>
          <w:color w:val="000000"/>
        </w:rPr>
        <w:t>extra-contabili per alcune voci delle disponibilità liquide e per altre voci.</w:t>
      </w:r>
    </w:p>
    <w:bookmarkEnd w:id="3"/>
    <w:p w:rsidR="00083170" w:rsidRPr="00125398" w:rsidRDefault="00083170" w:rsidP="001867C1">
      <w:pPr>
        <w:spacing w:line="360" w:lineRule="auto"/>
        <w:jc w:val="both"/>
        <w:rPr>
          <w:rFonts w:ascii="Arial" w:hAnsi="Arial" w:cs="Arial"/>
          <w:color w:val="000000"/>
        </w:rPr>
      </w:pPr>
    </w:p>
    <w:p w:rsidR="00CC1A50" w:rsidRPr="00125398" w:rsidRDefault="00CC1A50" w:rsidP="00CC1A50">
      <w:pPr>
        <w:widowControl w:val="0"/>
        <w:spacing w:line="360" w:lineRule="auto"/>
        <w:jc w:val="both"/>
        <w:rPr>
          <w:rFonts w:ascii="Arial" w:hAnsi="Arial" w:cs="Arial"/>
          <w:color w:val="000000"/>
        </w:rPr>
      </w:pPr>
      <w:r w:rsidRPr="00125398">
        <w:rPr>
          <w:rFonts w:ascii="Arial" w:hAnsi="Arial" w:cs="Arial"/>
          <w:color w:val="000000"/>
        </w:rPr>
        <w:t xml:space="preserve">Lo stato patrimoniale rappresenta la composizione quali-quantitativa del patrimonio dell’ente alla data di riferimento. </w:t>
      </w:r>
    </w:p>
    <w:p w:rsidR="00CC1A50" w:rsidRPr="00125398" w:rsidRDefault="00CC1A50" w:rsidP="00CC1A50">
      <w:pPr>
        <w:widowControl w:val="0"/>
        <w:spacing w:line="360" w:lineRule="auto"/>
        <w:jc w:val="both"/>
        <w:rPr>
          <w:rFonts w:ascii="Arial" w:hAnsi="Arial" w:cs="Arial"/>
          <w:color w:val="000000"/>
        </w:rPr>
      </w:pPr>
    </w:p>
    <w:p w:rsidR="001B4CEC" w:rsidRPr="00125398" w:rsidRDefault="001B4CEC" w:rsidP="001B4CEC">
      <w:pPr>
        <w:spacing w:line="360" w:lineRule="auto"/>
        <w:jc w:val="both"/>
        <w:rPr>
          <w:rFonts w:ascii="Arial" w:hAnsi="Arial" w:cs="Arial"/>
          <w:color w:val="000000"/>
        </w:rPr>
      </w:pPr>
      <w:r w:rsidRPr="00125398">
        <w:rPr>
          <w:rFonts w:ascii="Arial" w:hAnsi="Arial" w:cs="Arial"/>
          <w:color w:val="000000"/>
        </w:rPr>
        <w:t xml:space="preserve">La </w:t>
      </w:r>
      <w:r w:rsidR="00083170" w:rsidRPr="00125398">
        <w:rPr>
          <w:rFonts w:ascii="Arial" w:hAnsi="Arial" w:cs="Arial"/>
          <w:color w:val="000000"/>
        </w:rPr>
        <w:t>S</w:t>
      </w:r>
      <w:r w:rsidRPr="00125398">
        <w:rPr>
          <w:rFonts w:ascii="Arial" w:hAnsi="Arial" w:cs="Arial"/>
          <w:color w:val="000000"/>
        </w:rPr>
        <w:t>ituazione patrimoniale 20</w:t>
      </w:r>
      <w:r w:rsidR="00A440CB">
        <w:rPr>
          <w:rFonts w:ascii="Arial" w:hAnsi="Arial" w:cs="Arial"/>
          <w:color w:val="000000"/>
        </w:rPr>
        <w:t>2</w:t>
      </w:r>
      <w:r w:rsidR="009F2384">
        <w:rPr>
          <w:rFonts w:ascii="Arial" w:hAnsi="Arial" w:cs="Arial"/>
          <w:color w:val="000000"/>
        </w:rPr>
        <w:t>1</w:t>
      </w:r>
      <w:r w:rsidRPr="00125398">
        <w:rPr>
          <w:rFonts w:ascii="Arial" w:hAnsi="Arial" w:cs="Arial"/>
          <w:color w:val="000000"/>
        </w:rPr>
        <w:t xml:space="preserve"> è stata redatta nel rispetto degli obblighi di legge vigenti, con particolare riferimento ai principi e modelli sopra richiamati. </w:t>
      </w:r>
    </w:p>
    <w:p w:rsidR="00573F8A" w:rsidRDefault="00573F8A" w:rsidP="006E588D">
      <w:pPr>
        <w:spacing w:line="360" w:lineRule="auto"/>
        <w:jc w:val="both"/>
        <w:rPr>
          <w:rFonts w:ascii="Arial" w:hAnsi="Arial" w:cs="Arial"/>
          <w:color w:val="000000"/>
        </w:rPr>
      </w:pPr>
    </w:p>
    <w:p w:rsidR="00CA47AF" w:rsidRDefault="002829B7" w:rsidP="006E588D">
      <w:pPr>
        <w:spacing w:line="360" w:lineRule="auto"/>
        <w:jc w:val="both"/>
        <w:rPr>
          <w:rFonts w:ascii="Arial" w:hAnsi="Arial" w:cs="Arial"/>
          <w:color w:val="000000"/>
        </w:rPr>
      </w:pPr>
      <w:r w:rsidRPr="00125398">
        <w:rPr>
          <w:rFonts w:ascii="Arial" w:hAnsi="Arial" w:cs="Arial"/>
          <w:color w:val="000000"/>
        </w:rPr>
        <w:t>Si evidenzia in particolar modo che, sulla base di quanto previsto dal D</w:t>
      </w:r>
      <w:r w:rsidR="000D454F">
        <w:rPr>
          <w:rFonts w:ascii="Arial" w:hAnsi="Arial" w:cs="Arial"/>
          <w:color w:val="000000"/>
        </w:rPr>
        <w:t xml:space="preserve">ecreto </w:t>
      </w:r>
      <w:r w:rsidRPr="00125398">
        <w:rPr>
          <w:rFonts w:ascii="Arial" w:hAnsi="Arial" w:cs="Arial"/>
          <w:color w:val="000000"/>
        </w:rPr>
        <w:t>M</w:t>
      </w:r>
      <w:r w:rsidR="000D454F">
        <w:rPr>
          <w:rFonts w:ascii="Arial" w:hAnsi="Arial" w:cs="Arial"/>
          <w:color w:val="000000"/>
        </w:rPr>
        <w:t>EF</w:t>
      </w:r>
      <w:r w:rsidRPr="00125398">
        <w:rPr>
          <w:rFonts w:ascii="Arial" w:hAnsi="Arial" w:cs="Arial"/>
          <w:color w:val="000000"/>
        </w:rPr>
        <w:t xml:space="preserve"> 1</w:t>
      </w:r>
      <w:r w:rsidR="000A6219">
        <w:rPr>
          <w:rFonts w:ascii="Arial" w:hAnsi="Arial" w:cs="Arial"/>
          <w:color w:val="000000"/>
        </w:rPr>
        <w:t>2</w:t>
      </w:r>
      <w:r w:rsidRPr="00125398">
        <w:rPr>
          <w:rFonts w:ascii="Arial" w:hAnsi="Arial" w:cs="Arial"/>
          <w:color w:val="000000"/>
        </w:rPr>
        <w:t xml:space="preserve"> </w:t>
      </w:r>
      <w:r w:rsidR="000A6219">
        <w:rPr>
          <w:rFonts w:ascii="Arial" w:hAnsi="Arial" w:cs="Arial"/>
          <w:color w:val="000000"/>
        </w:rPr>
        <w:t>ottobre</w:t>
      </w:r>
      <w:r w:rsidRPr="00125398">
        <w:rPr>
          <w:rFonts w:ascii="Arial" w:hAnsi="Arial" w:cs="Arial"/>
          <w:color w:val="000000"/>
        </w:rPr>
        <w:t xml:space="preserve"> 20</w:t>
      </w:r>
      <w:r w:rsidR="00A440CB">
        <w:rPr>
          <w:rFonts w:ascii="Arial" w:hAnsi="Arial" w:cs="Arial"/>
          <w:color w:val="000000"/>
        </w:rPr>
        <w:t>2</w:t>
      </w:r>
      <w:r w:rsidR="000A6219">
        <w:rPr>
          <w:rFonts w:ascii="Arial" w:hAnsi="Arial" w:cs="Arial"/>
          <w:color w:val="000000"/>
        </w:rPr>
        <w:t>1,</w:t>
      </w:r>
      <w:r w:rsidRPr="00125398">
        <w:rPr>
          <w:rFonts w:ascii="Arial" w:hAnsi="Arial" w:cs="Arial"/>
          <w:color w:val="000000"/>
        </w:rPr>
        <w:t xml:space="preserve"> </w:t>
      </w:r>
      <w:r w:rsidR="00872AD0">
        <w:rPr>
          <w:rFonts w:ascii="Arial" w:hAnsi="Arial" w:cs="Arial"/>
          <w:color w:val="000000"/>
        </w:rPr>
        <w:t>L’Ente ha la facoltà di attribuire una valorizzazione nulla alle voci:</w:t>
      </w:r>
    </w:p>
    <w:p w:rsidR="00CA47AF" w:rsidRPr="00CA47AF" w:rsidRDefault="00CA47AF" w:rsidP="00CA47AF">
      <w:pPr>
        <w:spacing w:line="360" w:lineRule="auto"/>
        <w:jc w:val="both"/>
        <w:rPr>
          <w:rFonts w:ascii="Arial" w:hAnsi="Arial" w:cs="Arial"/>
          <w:color w:val="000000"/>
        </w:rPr>
      </w:pPr>
    </w:p>
    <w:p w:rsidR="002B5F42" w:rsidRPr="00D32565" w:rsidRDefault="00CA47AF" w:rsidP="00CA47AF">
      <w:pPr>
        <w:numPr>
          <w:ilvl w:val="0"/>
          <w:numId w:val="27"/>
        </w:numPr>
        <w:spacing w:line="360" w:lineRule="auto"/>
        <w:jc w:val="both"/>
        <w:rPr>
          <w:rFonts w:ascii="Arial" w:hAnsi="Arial" w:cs="Arial"/>
          <w:color w:val="000000"/>
        </w:rPr>
      </w:pPr>
      <w:r w:rsidRPr="00CA47AF">
        <w:rPr>
          <w:rFonts w:ascii="Arial" w:hAnsi="Arial" w:cs="Arial"/>
          <w:color w:val="000000"/>
        </w:rPr>
        <w:t>Crediti vs. lo Stato ed altre Amministrazioni pubbliche per la partecipazione al fondo di</w:t>
      </w:r>
      <w:r w:rsidRPr="00C87DA3">
        <w:rPr>
          <w:rFonts w:ascii="Arial" w:hAnsi="Arial" w:cs="Arial"/>
          <w:color w:val="000000"/>
        </w:rPr>
        <w:t xml:space="preserve"> dotazione</w:t>
      </w:r>
      <w:r w:rsidRPr="00D32565">
        <w:rPr>
          <w:rFonts w:ascii="Arial" w:hAnsi="Arial" w:cs="Arial"/>
          <w:bCs/>
          <w:color w:val="000000"/>
        </w:rPr>
        <w:t xml:space="preserve"> </w:t>
      </w:r>
    </w:p>
    <w:p w:rsidR="00CA47AF" w:rsidRPr="00CA47AF" w:rsidRDefault="00CA47AF" w:rsidP="00CA47AF">
      <w:pPr>
        <w:numPr>
          <w:ilvl w:val="0"/>
          <w:numId w:val="27"/>
        </w:numPr>
        <w:spacing w:line="360" w:lineRule="auto"/>
        <w:jc w:val="both"/>
        <w:rPr>
          <w:rFonts w:ascii="Arial" w:hAnsi="Arial" w:cs="Arial"/>
          <w:color w:val="000000"/>
        </w:rPr>
      </w:pPr>
      <w:r w:rsidRPr="00D32565">
        <w:rPr>
          <w:rFonts w:ascii="Arial" w:hAnsi="Arial" w:cs="Arial"/>
          <w:bCs/>
          <w:color w:val="000000"/>
        </w:rPr>
        <w:t>Rimanenze</w:t>
      </w:r>
    </w:p>
    <w:p w:rsidR="002B5F42" w:rsidRPr="00C87DA3" w:rsidRDefault="008930EE" w:rsidP="00CA47AF">
      <w:pPr>
        <w:numPr>
          <w:ilvl w:val="0"/>
          <w:numId w:val="27"/>
        </w:numPr>
        <w:spacing w:line="360" w:lineRule="auto"/>
        <w:jc w:val="both"/>
        <w:rPr>
          <w:rFonts w:ascii="Arial" w:hAnsi="Arial" w:cs="Arial"/>
          <w:color w:val="000000"/>
        </w:rPr>
      </w:pPr>
      <w:r w:rsidRPr="00C87DA3">
        <w:rPr>
          <w:rFonts w:ascii="Arial" w:hAnsi="Arial" w:cs="Arial"/>
          <w:color w:val="000000"/>
        </w:rPr>
        <w:t xml:space="preserve">Crediti da tributi destinati al finanziamento della sanità; </w:t>
      </w:r>
    </w:p>
    <w:p w:rsidR="002B5F42" w:rsidRPr="00CA47AF" w:rsidRDefault="008930EE" w:rsidP="00CA47AF">
      <w:pPr>
        <w:numPr>
          <w:ilvl w:val="0"/>
          <w:numId w:val="27"/>
        </w:numPr>
        <w:spacing w:line="360" w:lineRule="auto"/>
        <w:jc w:val="both"/>
        <w:rPr>
          <w:rFonts w:ascii="Arial" w:hAnsi="Arial" w:cs="Arial"/>
          <w:color w:val="000000"/>
        </w:rPr>
      </w:pPr>
      <w:r w:rsidRPr="00D32565">
        <w:rPr>
          <w:rFonts w:ascii="Arial" w:hAnsi="Arial" w:cs="Arial"/>
          <w:bCs/>
          <w:color w:val="000000"/>
        </w:rPr>
        <w:t>Ratei attivi e Risconti attivi</w:t>
      </w:r>
    </w:p>
    <w:p w:rsidR="002B5F42" w:rsidRPr="00C87DA3" w:rsidRDefault="008930EE" w:rsidP="00CA47AF">
      <w:pPr>
        <w:numPr>
          <w:ilvl w:val="0"/>
          <w:numId w:val="27"/>
        </w:numPr>
        <w:spacing w:line="360" w:lineRule="auto"/>
        <w:jc w:val="both"/>
        <w:rPr>
          <w:rFonts w:ascii="Arial" w:hAnsi="Arial" w:cs="Arial"/>
          <w:color w:val="000000"/>
        </w:rPr>
      </w:pPr>
      <w:r w:rsidRPr="00D32565">
        <w:rPr>
          <w:rFonts w:ascii="Arial" w:hAnsi="Arial" w:cs="Arial"/>
          <w:bCs/>
          <w:color w:val="000000"/>
        </w:rPr>
        <w:t>Risultato economico dell'esercizio</w:t>
      </w:r>
      <w:r w:rsidRPr="00CA47AF">
        <w:rPr>
          <w:rFonts w:ascii="Arial" w:hAnsi="Arial" w:cs="Arial"/>
          <w:color w:val="000000"/>
        </w:rPr>
        <w:t>;</w:t>
      </w:r>
    </w:p>
    <w:p w:rsidR="002B5F42" w:rsidRPr="00C87DA3" w:rsidRDefault="008930EE" w:rsidP="00CA47AF">
      <w:pPr>
        <w:numPr>
          <w:ilvl w:val="0"/>
          <w:numId w:val="27"/>
        </w:numPr>
        <w:spacing w:line="360" w:lineRule="auto"/>
        <w:jc w:val="both"/>
        <w:rPr>
          <w:rFonts w:ascii="Arial" w:hAnsi="Arial" w:cs="Arial"/>
          <w:color w:val="000000"/>
        </w:rPr>
      </w:pPr>
      <w:r w:rsidRPr="00C87DA3">
        <w:rPr>
          <w:rFonts w:ascii="Arial" w:hAnsi="Arial" w:cs="Arial"/>
          <w:color w:val="000000"/>
        </w:rPr>
        <w:t>Acconti;</w:t>
      </w:r>
    </w:p>
    <w:p w:rsidR="002B5F42" w:rsidRPr="00C87DA3" w:rsidRDefault="008930EE" w:rsidP="00CA47AF">
      <w:pPr>
        <w:numPr>
          <w:ilvl w:val="0"/>
          <w:numId w:val="27"/>
        </w:numPr>
        <w:spacing w:line="360" w:lineRule="auto"/>
        <w:jc w:val="both"/>
        <w:rPr>
          <w:rFonts w:ascii="Arial" w:hAnsi="Arial" w:cs="Arial"/>
          <w:color w:val="000000"/>
        </w:rPr>
      </w:pPr>
      <w:r w:rsidRPr="00D32565">
        <w:rPr>
          <w:rFonts w:ascii="Arial" w:hAnsi="Arial" w:cs="Arial"/>
          <w:bCs/>
          <w:color w:val="000000"/>
        </w:rPr>
        <w:t xml:space="preserve">Ratei passivi e Altri risconti passivi </w:t>
      </w:r>
      <w:r w:rsidRPr="00CA47AF">
        <w:rPr>
          <w:rFonts w:ascii="Arial" w:hAnsi="Arial" w:cs="Arial"/>
          <w:color w:val="000000"/>
        </w:rPr>
        <w:t>;</w:t>
      </w:r>
    </w:p>
    <w:p w:rsidR="002B5F42" w:rsidRPr="00CA47AF" w:rsidRDefault="008930EE" w:rsidP="00CA47AF">
      <w:pPr>
        <w:numPr>
          <w:ilvl w:val="0"/>
          <w:numId w:val="27"/>
        </w:numPr>
        <w:spacing w:line="360" w:lineRule="auto"/>
        <w:jc w:val="both"/>
        <w:rPr>
          <w:rFonts w:ascii="Arial" w:hAnsi="Arial" w:cs="Arial"/>
          <w:color w:val="000000"/>
        </w:rPr>
      </w:pPr>
      <w:r w:rsidRPr="00D32565">
        <w:rPr>
          <w:rFonts w:ascii="Arial" w:hAnsi="Arial" w:cs="Arial"/>
          <w:bCs/>
          <w:color w:val="000000"/>
        </w:rPr>
        <w:t>Contributi agli investimenti e Concessioni pluriennali</w:t>
      </w:r>
    </w:p>
    <w:p w:rsidR="002B5F42" w:rsidRPr="00CA47AF" w:rsidRDefault="008930EE" w:rsidP="00CA47AF">
      <w:pPr>
        <w:numPr>
          <w:ilvl w:val="0"/>
          <w:numId w:val="27"/>
        </w:numPr>
        <w:spacing w:line="360" w:lineRule="auto"/>
        <w:jc w:val="both"/>
        <w:rPr>
          <w:rFonts w:ascii="Arial" w:hAnsi="Arial" w:cs="Arial"/>
          <w:color w:val="000000"/>
        </w:rPr>
      </w:pPr>
      <w:r w:rsidRPr="00D32565">
        <w:rPr>
          <w:rFonts w:ascii="Arial" w:hAnsi="Arial" w:cs="Arial"/>
          <w:bCs/>
          <w:color w:val="000000"/>
        </w:rPr>
        <w:t>Conti d’ordine</w:t>
      </w:r>
    </w:p>
    <w:p w:rsidR="00872AD0" w:rsidRDefault="00381F2B" w:rsidP="00083170">
      <w:pPr>
        <w:spacing w:line="360" w:lineRule="auto"/>
        <w:jc w:val="both"/>
        <w:rPr>
          <w:rFonts w:ascii="Arial" w:hAnsi="Arial" w:cs="Arial"/>
          <w:color w:val="000000"/>
        </w:rPr>
      </w:pPr>
      <w:r>
        <w:rPr>
          <w:rFonts w:ascii="Arial" w:hAnsi="Arial" w:cs="Arial"/>
          <w:color w:val="000000"/>
        </w:rPr>
        <w:t>Non è altresì obbligatoria:</w:t>
      </w:r>
    </w:p>
    <w:p w:rsidR="00381F2B" w:rsidRPr="00D32565" w:rsidRDefault="00381F2B" w:rsidP="00D32565">
      <w:pPr>
        <w:pStyle w:val="Paragrafoelenco"/>
        <w:numPr>
          <w:ilvl w:val="0"/>
          <w:numId w:val="29"/>
        </w:numPr>
        <w:spacing w:line="360" w:lineRule="auto"/>
        <w:jc w:val="both"/>
        <w:rPr>
          <w:rFonts w:ascii="Arial" w:hAnsi="Arial" w:cs="Arial"/>
          <w:color w:val="000000"/>
        </w:rPr>
      </w:pPr>
      <w:r w:rsidRPr="00D32565">
        <w:rPr>
          <w:rFonts w:ascii="Arial" w:hAnsi="Arial" w:cs="Arial"/>
          <w:bCs/>
          <w:color w:val="000000"/>
        </w:rPr>
        <w:t>l’indicazione degli importi esigibili oltre l'esercizio successivo per i Crediti e i Debiti;</w:t>
      </w:r>
    </w:p>
    <w:p w:rsidR="00381F2B" w:rsidRPr="00D32565" w:rsidRDefault="00381F2B" w:rsidP="00D32565">
      <w:pPr>
        <w:pStyle w:val="Paragrafoelenco"/>
        <w:numPr>
          <w:ilvl w:val="0"/>
          <w:numId w:val="29"/>
        </w:numPr>
        <w:spacing w:line="360" w:lineRule="auto"/>
        <w:jc w:val="both"/>
        <w:rPr>
          <w:rFonts w:ascii="Arial" w:hAnsi="Arial" w:cs="Arial"/>
          <w:color w:val="000000"/>
        </w:rPr>
      </w:pPr>
      <w:r w:rsidRPr="00D32565">
        <w:rPr>
          <w:rFonts w:ascii="Arial" w:hAnsi="Arial" w:cs="Arial"/>
          <w:bCs/>
          <w:color w:val="000000"/>
        </w:rPr>
        <w:t>l’indicazione degli importi esigibili entro l'esercizio successivo per le Immobilizzazioni finanziarie;</w:t>
      </w:r>
    </w:p>
    <w:p w:rsidR="00381F2B" w:rsidRPr="00D32565" w:rsidRDefault="00381F2B" w:rsidP="00D32565">
      <w:pPr>
        <w:pStyle w:val="Paragrafoelenco"/>
        <w:numPr>
          <w:ilvl w:val="0"/>
          <w:numId w:val="29"/>
        </w:numPr>
        <w:spacing w:line="360" w:lineRule="auto"/>
        <w:jc w:val="both"/>
        <w:rPr>
          <w:rFonts w:ascii="Arial" w:hAnsi="Arial" w:cs="Arial"/>
          <w:color w:val="000000"/>
        </w:rPr>
      </w:pPr>
      <w:r w:rsidRPr="00D32565">
        <w:rPr>
          <w:rFonts w:ascii="Arial" w:hAnsi="Arial" w:cs="Arial"/>
          <w:bCs/>
          <w:color w:val="000000"/>
        </w:rPr>
        <w:t>l’indicazione degli importi relativi a beni indisponibili per le immobilizzazioni materiali</w:t>
      </w:r>
      <w:r w:rsidRPr="00D32565">
        <w:rPr>
          <w:rFonts w:ascii="Arial" w:hAnsi="Arial" w:cs="Arial"/>
          <w:color w:val="000000"/>
        </w:rPr>
        <w:t>.</w:t>
      </w:r>
    </w:p>
    <w:p w:rsidR="00381F2B" w:rsidRDefault="00381F2B" w:rsidP="00083170">
      <w:pPr>
        <w:spacing w:line="360" w:lineRule="auto"/>
        <w:jc w:val="both"/>
        <w:rPr>
          <w:rFonts w:ascii="Arial" w:hAnsi="Arial" w:cs="Arial"/>
          <w:color w:val="000000"/>
        </w:rPr>
      </w:pPr>
    </w:p>
    <w:p w:rsidR="00573F8A" w:rsidRDefault="00573F8A" w:rsidP="00083170">
      <w:pPr>
        <w:spacing w:line="360" w:lineRule="auto"/>
        <w:jc w:val="both"/>
        <w:rPr>
          <w:rFonts w:ascii="Arial" w:hAnsi="Arial" w:cs="Arial"/>
          <w:color w:val="000000"/>
        </w:rPr>
      </w:pPr>
      <w:r>
        <w:rPr>
          <w:rFonts w:ascii="Arial" w:hAnsi="Arial" w:cs="Arial"/>
          <w:color w:val="000000"/>
        </w:rPr>
        <w:t xml:space="preserve">Il medesimo Decreto Ministeriale attribuisce </w:t>
      </w:r>
      <w:r w:rsidR="00C87DA3">
        <w:rPr>
          <w:rFonts w:ascii="Arial" w:hAnsi="Arial" w:cs="Arial"/>
          <w:color w:val="000000"/>
        </w:rPr>
        <w:t xml:space="preserve">l’obbligo </w:t>
      </w:r>
      <w:r>
        <w:rPr>
          <w:rFonts w:ascii="Arial" w:hAnsi="Arial" w:cs="Arial"/>
          <w:color w:val="000000"/>
        </w:rPr>
        <w:t xml:space="preserve">di non rilevare il confronto con l’esercizio precedente. </w:t>
      </w:r>
    </w:p>
    <w:p w:rsidR="00DD658D" w:rsidRDefault="00DD658D" w:rsidP="00083170">
      <w:pPr>
        <w:spacing w:line="360" w:lineRule="auto"/>
        <w:jc w:val="both"/>
        <w:rPr>
          <w:rFonts w:ascii="Arial" w:hAnsi="Arial" w:cs="Arial"/>
          <w:color w:val="000000"/>
        </w:rPr>
      </w:pPr>
    </w:p>
    <w:p w:rsidR="000C2324" w:rsidRPr="00DD658D" w:rsidRDefault="003D55E1" w:rsidP="00872AD0">
      <w:pPr>
        <w:pStyle w:val="TITOLO10"/>
        <w:rPr>
          <w:sz w:val="32"/>
          <w:szCs w:val="32"/>
        </w:rPr>
      </w:pPr>
      <w:bookmarkStart w:id="4" w:name="_Toc2608963"/>
      <w:bookmarkStart w:id="5" w:name="_Toc32933008"/>
      <w:r w:rsidRPr="00DD658D">
        <w:rPr>
          <w:sz w:val="32"/>
          <w:szCs w:val="32"/>
        </w:rPr>
        <w:lastRenderedPageBreak/>
        <w:t>situazione patrimoniale</w:t>
      </w:r>
      <w:r w:rsidR="00B77370" w:rsidRPr="00DD658D">
        <w:rPr>
          <w:sz w:val="32"/>
          <w:szCs w:val="32"/>
        </w:rPr>
        <w:t xml:space="preserve"> </w:t>
      </w:r>
      <w:r w:rsidR="000C2324" w:rsidRPr="00DD658D">
        <w:rPr>
          <w:sz w:val="32"/>
          <w:szCs w:val="32"/>
        </w:rPr>
        <w:t>al 31/12/20</w:t>
      </w:r>
      <w:bookmarkEnd w:id="4"/>
      <w:bookmarkEnd w:id="5"/>
      <w:r w:rsidR="009F2384">
        <w:rPr>
          <w:sz w:val="32"/>
          <w:szCs w:val="32"/>
        </w:rPr>
        <w:t>21</w:t>
      </w:r>
    </w:p>
    <w:p w:rsidR="00880B41" w:rsidRPr="00CC1A50" w:rsidRDefault="00CC1A50" w:rsidP="006B32BB">
      <w:pPr>
        <w:widowControl w:val="0"/>
        <w:shd w:val="pct12" w:color="auto" w:fill="auto"/>
        <w:spacing w:before="40" w:after="280"/>
        <w:jc w:val="both"/>
        <w:rPr>
          <w:rFonts w:ascii="Arial" w:hAnsi="Arial" w:cs="Arial"/>
          <w:b/>
          <w:color w:val="000000"/>
          <w:sz w:val="28"/>
          <w:szCs w:val="28"/>
        </w:rPr>
      </w:pPr>
      <w:bookmarkStart w:id="6" w:name="PAR02"/>
      <w:bookmarkStart w:id="7" w:name="XBRL_Tab_0421"/>
      <w:r w:rsidRPr="00CC1A50">
        <w:rPr>
          <w:rFonts w:ascii="Arial" w:hAnsi="Arial" w:cs="Arial"/>
          <w:b/>
          <w:color w:val="000000"/>
          <w:sz w:val="28"/>
          <w:szCs w:val="28"/>
        </w:rPr>
        <w:t>Criteri di valutazione</w:t>
      </w:r>
    </w:p>
    <w:p w:rsidR="00CC1A50" w:rsidRDefault="00CC1A50" w:rsidP="00CC1A50">
      <w:pPr>
        <w:widowControl w:val="0"/>
        <w:spacing w:line="360" w:lineRule="auto"/>
        <w:jc w:val="both"/>
        <w:rPr>
          <w:rFonts w:ascii="Arial" w:hAnsi="Arial" w:cs="Arial"/>
          <w:color w:val="000000"/>
        </w:rPr>
      </w:pPr>
      <w:r w:rsidRPr="00CC1A50">
        <w:rPr>
          <w:rFonts w:ascii="Arial" w:hAnsi="Arial" w:cs="Arial"/>
          <w:color w:val="000000"/>
        </w:rPr>
        <w:t>I principi contabili ed i criteri di valutazione adottati per la redazione de</w:t>
      </w:r>
      <w:r w:rsidR="00DB0240">
        <w:rPr>
          <w:rFonts w:ascii="Arial" w:hAnsi="Arial" w:cs="Arial"/>
          <w:color w:val="000000"/>
        </w:rPr>
        <w:t>lla Situazione patrimoniale</w:t>
      </w:r>
      <w:r w:rsidRPr="00CC1A50">
        <w:rPr>
          <w:rFonts w:ascii="Arial" w:hAnsi="Arial" w:cs="Arial"/>
          <w:color w:val="000000"/>
        </w:rPr>
        <w:t xml:space="preserve"> sono quelli</w:t>
      </w:r>
      <w:r w:rsidR="00D80D9C">
        <w:rPr>
          <w:rFonts w:ascii="Arial" w:hAnsi="Arial" w:cs="Arial"/>
          <w:color w:val="000000"/>
        </w:rPr>
        <w:t xml:space="preserve"> dettati dal D.lgs. 118/2011, </w:t>
      </w:r>
      <w:r w:rsidR="003D55E1">
        <w:rPr>
          <w:rFonts w:ascii="Arial" w:hAnsi="Arial" w:cs="Arial"/>
          <w:color w:val="000000"/>
        </w:rPr>
        <w:t xml:space="preserve">con modalità semplificate </w:t>
      </w:r>
      <w:r w:rsidR="00D75C0C">
        <w:rPr>
          <w:rFonts w:ascii="Arial" w:hAnsi="Arial" w:cs="Arial"/>
          <w:color w:val="000000"/>
        </w:rPr>
        <w:t>come previsto da</w:t>
      </w:r>
      <w:r w:rsidR="00DB0240">
        <w:rPr>
          <w:rFonts w:ascii="Arial" w:hAnsi="Arial" w:cs="Arial"/>
          <w:color w:val="000000"/>
        </w:rPr>
        <w:t>l</w:t>
      </w:r>
      <w:r w:rsidR="003D55E1">
        <w:rPr>
          <w:rFonts w:ascii="Arial" w:hAnsi="Arial" w:cs="Arial"/>
          <w:color w:val="000000"/>
        </w:rPr>
        <w:t xml:space="preserve"> DM </w:t>
      </w:r>
      <w:r w:rsidR="000A6219">
        <w:rPr>
          <w:rFonts w:ascii="Arial" w:hAnsi="Arial" w:cs="Arial"/>
          <w:color w:val="000000"/>
        </w:rPr>
        <w:t>12</w:t>
      </w:r>
      <w:r w:rsidR="003D55E1">
        <w:rPr>
          <w:rFonts w:ascii="Arial" w:hAnsi="Arial" w:cs="Arial"/>
          <w:color w:val="000000"/>
        </w:rPr>
        <w:t xml:space="preserve"> </w:t>
      </w:r>
      <w:r w:rsidR="000A6219">
        <w:rPr>
          <w:rFonts w:ascii="Arial" w:hAnsi="Arial" w:cs="Arial"/>
          <w:color w:val="000000"/>
        </w:rPr>
        <w:t>ottobre</w:t>
      </w:r>
      <w:r w:rsidR="003D55E1">
        <w:rPr>
          <w:rFonts w:ascii="Arial" w:hAnsi="Arial" w:cs="Arial"/>
          <w:color w:val="000000"/>
        </w:rPr>
        <w:t xml:space="preserve"> 20</w:t>
      </w:r>
      <w:r w:rsidR="00C87DA3">
        <w:rPr>
          <w:rFonts w:ascii="Arial" w:hAnsi="Arial" w:cs="Arial"/>
          <w:color w:val="000000"/>
        </w:rPr>
        <w:t>2</w:t>
      </w:r>
      <w:r w:rsidR="000A6219">
        <w:rPr>
          <w:rFonts w:ascii="Arial" w:hAnsi="Arial" w:cs="Arial"/>
          <w:color w:val="000000"/>
        </w:rPr>
        <w:t>1</w:t>
      </w:r>
      <w:r w:rsidR="003D55E1">
        <w:rPr>
          <w:rFonts w:ascii="Arial" w:hAnsi="Arial" w:cs="Arial"/>
          <w:color w:val="000000"/>
        </w:rPr>
        <w:t xml:space="preserve">. </w:t>
      </w:r>
    </w:p>
    <w:p w:rsidR="00DD658D" w:rsidRDefault="00DD658D" w:rsidP="00CC1A50">
      <w:pPr>
        <w:widowControl w:val="0"/>
        <w:spacing w:line="360" w:lineRule="auto"/>
        <w:jc w:val="both"/>
        <w:rPr>
          <w:rFonts w:ascii="Arial" w:hAnsi="Arial" w:cs="Arial"/>
          <w:color w:val="000000"/>
        </w:rPr>
      </w:pPr>
    </w:p>
    <w:p w:rsidR="00CC1A50" w:rsidRDefault="00CC1A50" w:rsidP="00CC1A50">
      <w:pPr>
        <w:widowControl w:val="0"/>
        <w:spacing w:line="360" w:lineRule="auto"/>
        <w:jc w:val="both"/>
        <w:rPr>
          <w:rFonts w:ascii="Arial" w:hAnsi="Arial" w:cs="Arial"/>
          <w:color w:val="000000"/>
        </w:rPr>
      </w:pPr>
    </w:p>
    <w:p w:rsidR="009F2FB0" w:rsidRPr="00B848DA" w:rsidRDefault="00B361EF" w:rsidP="009F2FB0">
      <w:pPr>
        <w:pStyle w:val="TITOLO20"/>
        <w:shd w:val="clear" w:color="auto" w:fill="D9D9D9"/>
      </w:pPr>
      <w:bookmarkStart w:id="8" w:name="_Toc2608964"/>
      <w:bookmarkStart w:id="9" w:name="_Toc32933009"/>
      <w:r>
        <w:t>STATO PATRIMONIALE</w:t>
      </w:r>
      <w:bookmarkEnd w:id="8"/>
      <w:bookmarkEnd w:id="9"/>
    </w:p>
    <w:p w:rsidR="003D55E1" w:rsidRDefault="00257AD1" w:rsidP="00257AD1">
      <w:pPr>
        <w:widowControl w:val="0"/>
        <w:spacing w:line="360" w:lineRule="auto"/>
        <w:jc w:val="both"/>
        <w:rPr>
          <w:rFonts w:ascii="Arial" w:hAnsi="Arial" w:cs="Arial"/>
          <w:color w:val="000000"/>
        </w:rPr>
      </w:pPr>
      <w:r w:rsidRPr="00257AD1">
        <w:rPr>
          <w:rFonts w:ascii="Arial" w:hAnsi="Arial" w:cs="Arial"/>
          <w:color w:val="000000"/>
        </w:rPr>
        <w:t>Nello stato patrimoniale sono rilevati gli elementi dell’attivo e del passivo</w:t>
      </w:r>
      <w:r w:rsidR="00872AD0">
        <w:rPr>
          <w:rFonts w:ascii="Arial" w:hAnsi="Arial" w:cs="Arial"/>
          <w:color w:val="000000"/>
        </w:rPr>
        <w:t>.</w:t>
      </w:r>
    </w:p>
    <w:p w:rsidR="00573F8A" w:rsidRDefault="00573F8A" w:rsidP="00257AD1">
      <w:pPr>
        <w:widowControl w:val="0"/>
        <w:spacing w:line="360" w:lineRule="auto"/>
        <w:jc w:val="both"/>
        <w:rPr>
          <w:rFonts w:ascii="Arial" w:hAnsi="Arial" w:cs="Arial"/>
          <w:color w:val="000000"/>
        </w:rPr>
      </w:pPr>
      <w:r>
        <w:rPr>
          <w:rFonts w:ascii="Arial" w:hAnsi="Arial" w:cs="Arial"/>
          <w:color w:val="000000"/>
        </w:rPr>
        <w:t>Si riportano nella tabella sottostante i valori aggregati per macroclassi.</w:t>
      </w:r>
    </w:p>
    <w:p w:rsidR="000F2606" w:rsidRPr="00257AD1" w:rsidRDefault="00D93E92" w:rsidP="00D93E92">
      <w:pPr>
        <w:widowControl w:val="0"/>
        <w:spacing w:line="360" w:lineRule="auto"/>
        <w:jc w:val="center"/>
        <w:rPr>
          <w:rFonts w:ascii="Arial" w:hAnsi="Arial" w:cs="Arial"/>
          <w:color w:val="000000"/>
        </w:rPr>
      </w:pPr>
      <w:r w:rsidRPr="00D93E92">
        <w:rPr>
          <w:noProof/>
        </w:rPr>
        <w:drawing>
          <wp:inline distT="0" distB="0" distL="0" distR="0">
            <wp:extent cx="5838825" cy="5784256"/>
            <wp:effectExtent l="1905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838825" cy="5784256"/>
                    </a:xfrm>
                    <a:prstGeom prst="rect">
                      <a:avLst/>
                    </a:prstGeom>
                    <a:noFill/>
                    <a:ln w="9525">
                      <a:noFill/>
                      <a:miter lim="800000"/>
                      <a:headEnd/>
                      <a:tailEnd/>
                    </a:ln>
                  </pic:spPr>
                </pic:pic>
              </a:graphicData>
            </a:graphic>
          </wp:inline>
        </w:drawing>
      </w:r>
    </w:p>
    <w:p w:rsidR="00257AD1" w:rsidRDefault="00257AD1" w:rsidP="00CC1A50">
      <w:pPr>
        <w:widowControl w:val="0"/>
        <w:spacing w:line="360" w:lineRule="auto"/>
        <w:jc w:val="both"/>
        <w:rPr>
          <w:rFonts w:ascii="Arial" w:hAnsi="Arial" w:cs="Arial"/>
          <w:color w:val="000000"/>
        </w:rPr>
      </w:pPr>
    </w:p>
    <w:p w:rsidR="00D80AC0" w:rsidRPr="00F2645B" w:rsidRDefault="00D80AC0" w:rsidP="00ED0AE6">
      <w:pPr>
        <w:pStyle w:val="TITOLO40"/>
      </w:pPr>
      <w:bookmarkStart w:id="10" w:name="_Toc32933010"/>
      <w:r w:rsidRPr="00F2645B">
        <w:lastRenderedPageBreak/>
        <w:t>Immobilizzazioni</w:t>
      </w:r>
      <w:bookmarkEnd w:id="10"/>
    </w:p>
    <w:p w:rsidR="00525D6D" w:rsidRPr="00125398" w:rsidRDefault="003D55E1" w:rsidP="00525D6D">
      <w:pPr>
        <w:widowControl w:val="0"/>
        <w:spacing w:line="360" w:lineRule="auto"/>
        <w:jc w:val="both"/>
        <w:rPr>
          <w:rFonts w:ascii="Arial" w:hAnsi="Arial" w:cs="Arial"/>
          <w:color w:val="000000"/>
        </w:rPr>
      </w:pPr>
      <w:r w:rsidRPr="00125398">
        <w:rPr>
          <w:rFonts w:ascii="Arial" w:hAnsi="Arial" w:cs="Arial"/>
          <w:color w:val="000000"/>
        </w:rPr>
        <w:t>Ai fini dell’elaborazione della Situazione patrimoniale al 31 dicembre 20</w:t>
      </w:r>
      <w:r w:rsidR="00A440CB">
        <w:rPr>
          <w:rFonts w:ascii="Arial" w:hAnsi="Arial" w:cs="Arial"/>
          <w:color w:val="000000"/>
        </w:rPr>
        <w:t>2</w:t>
      </w:r>
      <w:r w:rsidR="009F2384">
        <w:rPr>
          <w:rFonts w:ascii="Arial" w:hAnsi="Arial" w:cs="Arial"/>
          <w:color w:val="000000"/>
        </w:rPr>
        <w:t>1</w:t>
      </w:r>
      <w:r w:rsidRPr="00125398">
        <w:rPr>
          <w:rFonts w:ascii="Arial" w:hAnsi="Arial" w:cs="Arial"/>
          <w:color w:val="000000"/>
        </w:rPr>
        <w:t xml:space="preserve"> di cui all’articolo 232, comma 2, del TUEL, sono utilizzati i dati dell’inventario aggiornato al 31.12.20</w:t>
      </w:r>
      <w:r w:rsidR="00A440CB">
        <w:rPr>
          <w:rFonts w:ascii="Arial" w:hAnsi="Arial" w:cs="Arial"/>
          <w:color w:val="000000"/>
        </w:rPr>
        <w:t>2</w:t>
      </w:r>
      <w:r w:rsidR="009F2384">
        <w:rPr>
          <w:rFonts w:ascii="Arial" w:hAnsi="Arial" w:cs="Arial"/>
          <w:color w:val="000000"/>
        </w:rPr>
        <w:t>1</w:t>
      </w:r>
      <w:r w:rsidRPr="00125398">
        <w:rPr>
          <w:rFonts w:ascii="Arial" w:hAnsi="Arial" w:cs="Arial"/>
          <w:color w:val="000000"/>
        </w:rPr>
        <w:t>.</w:t>
      </w:r>
      <w:r w:rsidR="00525D6D" w:rsidRPr="00125398">
        <w:rPr>
          <w:rFonts w:ascii="Arial" w:hAnsi="Arial" w:cs="Arial"/>
          <w:color w:val="000000"/>
        </w:rPr>
        <w:t xml:space="preserve"> </w:t>
      </w:r>
      <w:r w:rsidR="00525D6D" w:rsidRPr="00125398">
        <w:rPr>
          <w:rFonts w:ascii="Arial" w:hAnsi="Arial" w:cs="Arial"/>
          <w:color w:val="000000"/>
        </w:rPr>
        <w:br/>
        <w:t>Tali dati sono stati impiegati per la valorizzazione delle seguenti voci dello schema di stato patrimoniale di cui all’allegato n. 10 al decreto legislativo n. 118 del 2011, comprese le relative sottovoci, escluse quelle riguardanti le immobilizzazioni in corso e acconti.</w:t>
      </w:r>
    </w:p>
    <w:p w:rsidR="00525D6D" w:rsidRPr="00125398" w:rsidRDefault="00525D6D" w:rsidP="00D75C0C">
      <w:pPr>
        <w:widowControl w:val="0"/>
        <w:spacing w:line="360" w:lineRule="auto"/>
        <w:ind w:left="284"/>
        <w:jc w:val="both"/>
        <w:rPr>
          <w:rFonts w:ascii="Arial" w:hAnsi="Arial" w:cs="Arial"/>
          <w:color w:val="000000"/>
        </w:rPr>
      </w:pPr>
      <w:r w:rsidRPr="00125398">
        <w:rPr>
          <w:rFonts w:ascii="Arial" w:hAnsi="Arial" w:cs="Arial"/>
          <w:color w:val="000000"/>
        </w:rPr>
        <w:t>ABI</w:t>
      </w:r>
      <w:r w:rsidRPr="00125398">
        <w:rPr>
          <w:rFonts w:ascii="Arial" w:hAnsi="Arial" w:cs="Arial"/>
          <w:color w:val="000000"/>
        </w:rPr>
        <w:tab/>
        <w:t>Immobilizzazioni immateriali</w:t>
      </w:r>
    </w:p>
    <w:p w:rsidR="00D80D9C" w:rsidRDefault="00525D6D" w:rsidP="00D75C0C">
      <w:pPr>
        <w:widowControl w:val="0"/>
        <w:spacing w:line="360" w:lineRule="auto"/>
        <w:ind w:left="284"/>
        <w:jc w:val="both"/>
        <w:rPr>
          <w:rFonts w:ascii="Arial" w:hAnsi="Arial" w:cs="Arial"/>
          <w:color w:val="000000"/>
        </w:rPr>
      </w:pPr>
      <w:r w:rsidRPr="00125398">
        <w:rPr>
          <w:rFonts w:ascii="Arial" w:hAnsi="Arial" w:cs="Arial"/>
          <w:color w:val="000000"/>
        </w:rPr>
        <w:t>ABII</w:t>
      </w:r>
      <w:r w:rsidRPr="00125398">
        <w:rPr>
          <w:rFonts w:ascii="Arial" w:hAnsi="Arial" w:cs="Arial"/>
          <w:color w:val="000000"/>
        </w:rPr>
        <w:tab/>
        <w:t>Immobilizzazioni materiali</w:t>
      </w:r>
    </w:p>
    <w:p w:rsidR="008F17A6" w:rsidRDefault="008F17A6" w:rsidP="00D75C0C">
      <w:pPr>
        <w:widowControl w:val="0"/>
        <w:spacing w:line="360" w:lineRule="auto"/>
        <w:ind w:left="284"/>
        <w:jc w:val="both"/>
        <w:rPr>
          <w:rFonts w:ascii="Arial" w:hAnsi="Arial" w:cs="Arial"/>
          <w:color w:val="000000"/>
        </w:rPr>
      </w:pPr>
      <w:r>
        <w:rPr>
          <w:rFonts w:ascii="Arial" w:hAnsi="Arial" w:cs="Arial"/>
          <w:color w:val="000000"/>
        </w:rPr>
        <w:t>ABIII</w:t>
      </w:r>
      <w:r>
        <w:rPr>
          <w:rFonts w:ascii="Arial" w:hAnsi="Arial" w:cs="Arial"/>
          <w:color w:val="000000"/>
        </w:rPr>
        <w:tab/>
        <w:t>Altre immobilizzazioni materiali</w:t>
      </w:r>
    </w:p>
    <w:p w:rsidR="003D55E1" w:rsidRDefault="003D55E1" w:rsidP="00DC21BE">
      <w:pPr>
        <w:widowControl w:val="0"/>
        <w:spacing w:line="360" w:lineRule="auto"/>
        <w:jc w:val="both"/>
        <w:rPr>
          <w:rFonts w:ascii="Arial" w:hAnsi="Arial" w:cs="Arial"/>
          <w:color w:val="000000"/>
        </w:rPr>
      </w:pPr>
    </w:p>
    <w:p w:rsidR="00DD658D" w:rsidRDefault="00DD658D" w:rsidP="00DC21BE">
      <w:pPr>
        <w:widowControl w:val="0"/>
        <w:spacing w:line="360" w:lineRule="auto"/>
        <w:jc w:val="both"/>
        <w:rPr>
          <w:rFonts w:ascii="Arial" w:hAnsi="Arial" w:cs="Arial"/>
          <w:color w:val="000000"/>
        </w:rPr>
      </w:pPr>
    </w:p>
    <w:p w:rsidR="00D80AC0" w:rsidRPr="00F2645B" w:rsidRDefault="00D80D9C" w:rsidP="002A3613">
      <w:pPr>
        <w:pStyle w:val="TITOLO50"/>
      </w:pPr>
      <w:bookmarkStart w:id="11" w:name="_Toc32933011"/>
      <w:r>
        <w:t>Immobilizzazioni immateriali</w:t>
      </w:r>
      <w:bookmarkEnd w:id="11"/>
    </w:p>
    <w:p w:rsidR="00D80D9C" w:rsidRPr="002C3190" w:rsidRDefault="004C5767" w:rsidP="006E588D">
      <w:pPr>
        <w:widowControl w:val="0"/>
        <w:spacing w:line="360" w:lineRule="auto"/>
        <w:jc w:val="both"/>
        <w:rPr>
          <w:rFonts w:ascii="Arial" w:hAnsi="Arial" w:cs="Arial"/>
          <w:color w:val="000000"/>
        </w:rPr>
      </w:pPr>
      <w:r w:rsidRPr="002C3190">
        <w:rPr>
          <w:rFonts w:ascii="Arial" w:hAnsi="Arial" w:cs="Arial"/>
          <w:color w:val="000000"/>
        </w:rPr>
        <w:t xml:space="preserve">In base al principio contabile, </w:t>
      </w:r>
      <w:r w:rsidR="006E05FF">
        <w:rPr>
          <w:rFonts w:ascii="Arial" w:hAnsi="Arial" w:cs="Arial"/>
          <w:color w:val="000000"/>
        </w:rPr>
        <w:t xml:space="preserve">le immobilizzazioni immateriali </w:t>
      </w:r>
      <w:r w:rsidRPr="002C3190">
        <w:rPr>
          <w:rFonts w:ascii="Arial" w:hAnsi="Arial" w:cs="Arial"/>
          <w:color w:val="000000"/>
        </w:rPr>
        <w:t>s</w:t>
      </w:r>
      <w:r w:rsidR="00D80D9C" w:rsidRPr="002C3190">
        <w:rPr>
          <w:rFonts w:ascii="Arial" w:hAnsi="Arial" w:cs="Arial"/>
          <w:color w:val="000000"/>
        </w:rPr>
        <w:t>ono iscritte al costo storico di acquisi</w:t>
      </w:r>
      <w:r w:rsidR="009F641A">
        <w:rPr>
          <w:rFonts w:ascii="Arial" w:hAnsi="Arial" w:cs="Arial"/>
          <w:color w:val="000000"/>
        </w:rPr>
        <w:t>zione o di produzione</w:t>
      </w:r>
      <w:r w:rsidR="006E05FF">
        <w:rPr>
          <w:rFonts w:ascii="Arial" w:hAnsi="Arial" w:cs="Arial"/>
          <w:color w:val="000000"/>
        </w:rPr>
        <w:t xml:space="preserve"> ed</w:t>
      </w:r>
      <w:r w:rsidR="009F641A">
        <w:rPr>
          <w:rFonts w:ascii="Arial" w:hAnsi="Arial" w:cs="Arial"/>
          <w:color w:val="000000"/>
        </w:rPr>
        <w:t xml:space="preserve"> esposte </w:t>
      </w:r>
      <w:r w:rsidR="00D80D9C" w:rsidRPr="002C3190">
        <w:rPr>
          <w:rFonts w:ascii="Arial" w:hAnsi="Arial" w:cs="Arial"/>
          <w:color w:val="000000"/>
        </w:rPr>
        <w:t>a</w:t>
      </w:r>
      <w:r w:rsidR="009F641A">
        <w:rPr>
          <w:rFonts w:ascii="Arial" w:hAnsi="Arial" w:cs="Arial"/>
          <w:color w:val="000000"/>
        </w:rPr>
        <w:t>l</w:t>
      </w:r>
      <w:r w:rsidR="00D80D9C" w:rsidRPr="002C3190">
        <w:rPr>
          <w:rFonts w:ascii="Arial" w:hAnsi="Arial" w:cs="Arial"/>
          <w:color w:val="000000"/>
        </w:rPr>
        <w:t xml:space="preserve"> netto degli ammortamenti effettuati nel corso degli esercizi</w:t>
      </w:r>
      <w:r w:rsidR="00C53AF0" w:rsidRPr="002C3190">
        <w:rPr>
          <w:rFonts w:ascii="Arial" w:hAnsi="Arial" w:cs="Arial"/>
          <w:color w:val="000000"/>
        </w:rPr>
        <w:t>.</w:t>
      </w:r>
    </w:p>
    <w:p w:rsidR="00D80AC0" w:rsidRPr="00F2645B" w:rsidRDefault="00D80AC0" w:rsidP="006E588D">
      <w:pPr>
        <w:widowControl w:val="0"/>
        <w:spacing w:line="360" w:lineRule="auto"/>
        <w:jc w:val="both"/>
        <w:rPr>
          <w:rFonts w:ascii="Arial" w:hAnsi="Arial" w:cs="Arial"/>
          <w:color w:val="000000"/>
        </w:rPr>
      </w:pPr>
      <w:r w:rsidRPr="00F2645B">
        <w:rPr>
          <w:rFonts w:ascii="Arial" w:hAnsi="Arial" w:cs="Arial"/>
          <w:color w:val="000000"/>
        </w:rPr>
        <w:t>Ai beni immateriali si applica l’aliquota del 20%, salvo quanto previsto per le immobilizzazioni derivanti da concessioni e per le immobilizzazioni derivanti da trasferimenti in conto capitale ad altre amministrazioni pubbliche.</w:t>
      </w:r>
    </w:p>
    <w:p w:rsidR="00D80AC0" w:rsidRDefault="00D80AC0" w:rsidP="006A174D">
      <w:pPr>
        <w:widowControl w:val="0"/>
        <w:spacing w:after="200" w:line="360" w:lineRule="auto"/>
        <w:jc w:val="both"/>
        <w:rPr>
          <w:rFonts w:ascii="Arial" w:hAnsi="Arial" w:cs="Arial"/>
          <w:color w:val="000000"/>
        </w:rPr>
      </w:pPr>
      <w:r w:rsidRPr="00F2645B">
        <w:rPr>
          <w:rFonts w:ascii="Arial" w:hAnsi="Arial" w:cs="Arial"/>
          <w:color w:val="000000"/>
        </w:rPr>
        <w:t>Nel caso in cui l’Amministrazione pubblica faccia investimenti apportando miglioramento su immobili di terzi (ad es. bene in locazione) di cui si avvale, tali migliorie andranno iscritte tra le immobilizzazioni immateriali ed ammortizzate nel periodo più breve tra quello in cui le migliorie possono essere utilizzate (vita utile residua) e quello di durata residua dell’affitto.</w:t>
      </w:r>
    </w:p>
    <w:p w:rsidR="00D80AC0" w:rsidRPr="00F2645B" w:rsidRDefault="00D80AC0" w:rsidP="00D80AC0">
      <w:pPr>
        <w:widowControl w:val="0"/>
        <w:ind w:right="1"/>
        <w:jc w:val="both"/>
        <w:rPr>
          <w:rFonts w:ascii="Arial" w:hAnsi="Arial" w:cs="Arial"/>
          <w:b/>
          <w:i/>
          <w:iCs/>
          <w:color w:val="000000"/>
        </w:rPr>
      </w:pPr>
    </w:p>
    <w:p w:rsidR="00D80AC0" w:rsidRPr="00F2645B" w:rsidRDefault="00097AF3" w:rsidP="003D69A9">
      <w:pPr>
        <w:pStyle w:val="TITOLO50"/>
      </w:pPr>
      <w:bookmarkStart w:id="12" w:name="_Toc32933012"/>
      <w:r>
        <w:t>Immobilizzazioni m</w:t>
      </w:r>
      <w:r w:rsidR="00D80AC0" w:rsidRPr="00F2645B">
        <w:t>ateriali</w:t>
      </w:r>
      <w:bookmarkEnd w:id="12"/>
    </w:p>
    <w:p w:rsidR="00D80AC0" w:rsidRPr="00F2645B" w:rsidRDefault="00D80AC0" w:rsidP="006E588D">
      <w:pPr>
        <w:spacing w:line="360" w:lineRule="auto"/>
        <w:jc w:val="both"/>
        <w:rPr>
          <w:rFonts w:ascii="Arial" w:hAnsi="Arial" w:cs="Arial"/>
          <w:color w:val="000000"/>
        </w:rPr>
      </w:pPr>
      <w:r w:rsidRPr="00F2645B">
        <w:rPr>
          <w:rFonts w:ascii="Arial" w:hAnsi="Arial" w:cs="Arial"/>
          <w:color w:val="000000"/>
        </w:rPr>
        <w:t>Nel Bilancio armonizzato le immobilizzazioni materiali sono sta</w:t>
      </w:r>
      <w:r w:rsidR="00BC704F">
        <w:rPr>
          <w:rFonts w:ascii="Arial" w:hAnsi="Arial" w:cs="Arial"/>
          <w:color w:val="000000"/>
        </w:rPr>
        <w:t xml:space="preserve">te iscritte al costo di </w:t>
      </w:r>
      <w:r w:rsidR="003956C2">
        <w:rPr>
          <w:rFonts w:ascii="Arial" w:hAnsi="Arial" w:cs="Arial"/>
          <w:color w:val="000000"/>
        </w:rPr>
        <w:t>acquisizione</w:t>
      </w:r>
      <w:r w:rsidR="002D423B">
        <w:rPr>
          <w:rFonts w:ascii="Arial" w:hAnsi="Arial" w:cs="Arial"/>
          <w:color w:val="000000"/>
        </w:rPr>
        <w:t xml:space="preserve"> o di produzione, se realizzate</w:t>
      </w:r>
      <w:r w:rsidR="00BC704F">
        <w:rPr>
          <w:rFonts w:ascii="Arial" w:hAnsi="Arial" w:cs="Arial"/>
          <w:color w:val="000000"/>
        </w:rPr>
        <w:t xml:space="preserve"> in economia (inclusivo di eventuali oneri accessori d’acquisto, quali le spese notarili, le tasse di registrazione dell’atto, gli onorari </w:t>
      </w:r>
      <w:r w:rsidR="00CC505B">
        <w:rPr>
          <w:rFonts w:ascii="Arial" w:hAnsi="Arial" w:cs="Arial"/>
          <w:color w:val="000000"/>
        </w:rPr>
        <w:t>per la progettazione, ecc.)</w:t>
      </w:r>
      <w:r w:rsidR="00472847">
        <w:rPr>
          <w:rFonts w:ascii="Arial" w:hAnsi="Arial" w:cs="Arial"/>
          <w:color w:val="000000"/>
        </w:rPr>
        <w:t xml:space="preserve">, </w:t>
      </w:r>
      <w:r w:rsidR="00F44994">
        <w:rPr>
          <w:rFonts w:ascii="Arial" w:hAnsi="Arial" w:cs="Arial"/>
          <w:color w:val="000000"/>
        </w:rPr>
        <w:t>al netto delle quote di ammortamento.</w:t>
      </w:r>
      <w:r w:rsidRPr="00F2645B">
        <w:rPr>
          <w:rFonts w:ascii="Arial" w:hAnsi="Arial" w:cs="Arial"/>
          <w:color w:val="000000"/>
        </w:rPr>
        <w:t xml:space="preserve"> Le spese di manutenzione di natura straordinaria sono state portate in aumento</w:t>
      </w:r>
      <w:r w:rsidR="00412AAE">
        <w:rPr>
          <w:rFonts w:ascii="Arial" w:hAnsi="Arial" w:cs="Arial"/>
          <w:color w:val="000000"/>
        </w:rPr>
        <w:t xml:space="preserve"> del valore dei cespiti. Nello stato p</w:t>
      </w:r>
      <w:r w:rsidRPr="00F2645B">
        <w:rPr>
          <w:rFonts w:ascii="Arial" w:hAnsi="Arial" w:cs="Arial"/>
          <w:color w:val="000000"/>
        </w:rPr>
        <w:t>atrimoniale del bilancio armonizzato del Comune gli ammortamenti delle immobilizzazioni materiali sono stati calcolati secondo i “Principi e le regole contabili del sistema di contabilità economica delle Amministrazioni Pubbliche” predisposto dal Ministero dell’Economia e delle Finanze.</w:t>
      </w:r>
    </w:p>
    <w:p w:rsidR="00D80AC0" w:rsidRPr="00F2645B" w:rsidRDefault="00D80AC0" w:rsidP="006E588D">
      <w:pPr>
        <w:spacing w:line="360" w:lineRule="auto"/>
        <w:jc w:val="both"/>
        <w:rPr>
          <w:rFonts w:ascii="Arial" w:hAnsi="Arial" w:cs="Arial"/>
          <w:color w:val="000000"/>
        </w:rPr>
      </w:pPr>
      <w:r w:rsidRPr="00F2645B">
        <w:rPr>
          <w:rFonts w:ascii="Arial" w:hAnsi="Arial" w:cs="Arial"/>
          <w:color w:val="000000"/>
        </w:rPr>
        <w:t>Gli ammortamenti sono determinati con i seguenti coefficienti</w:t>
      </w:r>
      <w:r w:rsidR="009373AE">
        <w:rPr>
          <w:rFonts w:ascii="Arial" w:hAnsi="Arial" w:cs="Arial"/>
          <w:color w:val="000000"/>
        </w:rPr>
        <w:t>, previsti da  D.lgs 118/2011.</w:t>
      </w:r>
    </w:p>
    <w:p w:rsidR="00D80AC0" w:rsidRPr="00F2645B" w:rsidRDefault="00D80AC0" w:rsidP="001F0073">
      <w:pPr>
        <w:keepNext/>
        <w:widowControl w:val="0"/>
        <w:spacing w:line="360" w:lineRule="auto"/>
        <w:jc w:val="both"/>
        <w:rPr>
          <w:rFonts w:ascii="Arial" w:hAnsi="Arial" w:cs="Arial"/>
          <w:i/>
          <w:color w:val="000000"/>
        </w:rPr>
      </w:pPr>
      <w:r w:rsidRPr="00F2645B">
        <w:rPr>
          <w:rFonts w:ascii="Arial" w:hAnsi="Arial" w:cs="Arial"/>
          <w:i/>
          <w:color w:val="000000"/>
        </w:rPr>
        <w:t>Beni demaniali:</w:t>
      </w:r>
    </w:p>
    <w:p w:rsidR="00D80AC0" w:rsidRPr="00F2645B" w:rsidRDefault="00D80AC0" w:rsidP="006E588D">
      <w:pPr>
        <w:widowControl w:val="0"/>
        <w:numPr>
          <w:ilvl w:val="0"/>
          <w:numId w:val="8"/>
        </w:numPr>
        <w:spacing w:line="360" w:lineRule="auto"/>
        <w:ind w:left="284" w:right="1" w:hanging="284"/>
        <w:jc w:val="both"/>
        <w:rPr>
          <w:rFonts w:ascii="Arial" w:hAnsi="Arial" w:cs="Arial"/>
          <w:color w:val="000000"/>
        </w:rPr>
      </w:pPr>
      <w:r w:rsidRPr="00F2645B">
        <w:rPr>
          <w:rFonts w:ascii="Arial" w:hAnsi="Arial" w:cs="Arial"/>
          <w:color w:val="000000"/>
        </w:rPr>
        <w:t xml:space="preserve">Fabbricati civili ad uso abitativo commerciale istituzionale 2% </w:t>
      </w:r>
    </w:p>
    <w:p w:rsidR="00D80AC0" w:rsidRPr="00F2645B" w:rsidRDefault="00D80AC0" w:rsidP="006E588D">
      <w:pPr>
        <w:widowControl w:val="0"/>
        <w:numPr>
          <w:ilvl w:val="0"/>
          <w:numId w:val="8"/>
        </w:numPr>
        <w:spacing w:line="360" w:lineRule="auto"/>
        <w:ind w:left="284" w:right="1" w:hanging="284"/>
        <w:jc w:val="both"/>
        <w:rPr>
          <w:rFonts w:ascii="Arial" w:hAnsi="Arial" w:cs="Arial"/>
          <w:color w:val="000000"/>
        </w:rPr>
      </w:pPr>
      <w:r w:rsidRPr="00F2645B">
        <w:rPr>
          <w:rFonts w:ascii="Arial" w:hAnsi="Arial" w:cs="Arial"/>
          <w:color w:val="000000"/>
        </w:rPr>
        <w:t>Infrastrutture 3%</w:t>
      </w:r>
    </w:p>
    <w:p w:rsidR="00D80AC0" w:rsidRPr="00F2645B" w:rsidRDefault="00D80AC0" w:rsidP="006E588D">
      <w:pPr>
        <w:widowControl w:val="0"/>
        <w:numPr>
          <w:ilvl w:val="0"/>
          <w:numId w:val="8"/>
        </w:numPr>
        <w:spacing w:line="360" w:lineRule="auto"/>
        <w:ind w:left="284" w:right="1" w:hanging="284"/>
        <w:jc w:val="both"/>
        <w:rPr>
          <w:rFonts w:ascii="Arial" w:hAnsi="Arial" w:cs="Arial"/>
          <w:color w:val="000000"/>
        </w:rPr>
      </w:pPr>
      <w:r w:rsidRPr="00F2645B">
        <w:rPr>
          <w:rFonts w:ascii="Arial" w:hAnsi="Arial" w:cs="Arial"/>
          <w:color w:val="000000"/>
        </w:rPr>
        <w:t>Altri beni demaniali 3%</w:t>
      </w:r>
    </w:p>
    <w:p w:rsidR="00525D6D" w:rsidRPr="001533ED" w:rsidRDefault="006E588D" w:rsidP="001533ED">
      <w:pPr>
        <w:widowControl w:val="0"/>
        <w:spacing w:line="360" w:lineRule="auto"/>
        <w:ind w:right="1"/>
        <w:jc w:val="both"/>
        <w:rPr>
          <w:rFonts w:ascii="Arial" w:hAnsi="Arial" w:cs="Arial"/>
          <w:i/>
          <w:color w:val="000000"/>
        </w:rPr>
      </w:pPr>
      <w:r w:rsidRPr="00DB2A43">
        <w:rPr>
          <w:rFonts w:ascii="Arial" w:hAnsi="Arial" w:cs="Arial"/>
          <w:i/>
          <w:color w:val="000000"/>
        </w:rPr>
        <w:t xml:space="preserve">Altri </w:t>
      </w:r>
      <w:r w:rsidR="00D80AC0" w:rsidRPr="00DB2A43">
        <w:rPr>
          <w:rFonts w:ascii="Arial" w:hAnsi="Arial" w:cs="Arial"/>
          <w:i/>
          <w:color w:val="000000"/>
        </w:rPr>
        <w:t>Beni:</w:t>
      </w:r>
    </w:p>
    <w:p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Fabbricati 2%</w:t>
      </w:r>
    </w:p>
    <w:p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lastRenderedPageBreak/>
        <w:t>Impianti e macchinari 5%</w:t>
      </w:r>
    </w:p>
    <w:p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Attrezzature industriali e commerciali 5%</w:t>
      </w:r>
    </w:p>
    <w:p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Mezzi di trasporto leggeri 20%</w:t>
      </w:r>
    </w:p>
    <w:p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Mezzi di trasporto pesanti 10%</w:t>
      </w:r>
    </w:p>
    <w:p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Macchinari per ufficio 20%</w:t>
      </w:r>
    </w:p>
    <w:p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Mobili e arredi per ufficio 10%</w:t>
      </w:r>
    </w:p>
    <w:p w:rsidR="001533ED" w:rsidRPr="00DB2A43"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Hardware 25%</w:t>
      </w:r>
    </w:p>
    <w:p w:rsidR="00525D6D" w:rsidRPr="001533ED" w:rsidRDefault="001533ED" w:rsidP="001533ED">
      <w:pPr>
        <w:widowControl w:val="0"/>
        <w:numPr>
          <w:ilvl w:val="0"/>
          <w:numId w:val="8"/>
        </w:numPr>
        <w:spacing w:line="360" w:lineRule="auto"/>
        <w:ind w:left="284" w:right="1" w:hanging="284"/>
        <w:jc w:val="both"/>
        <w:rPr>
          <w:rFonts w:ascii="Arial" w:hAnsi="Arial" w:cs="Arial"/>
          <w:color w:val="000000"/>
        </w:rPr>
      </w:pPr>
      <w:r w:rsidRPr="00DB2A43">
        <w:rPr>
          <w:rFonts w:ascii="Arial" w:hAnsi="Arial" w:cs="Arial"/>
          <w:color w:val="000000"/>
        </w:rPr>
        <w:t>Altri beni 20%</w:t>
      </w:r>
    </w:p>
    <w:p w:rsidR="00125398" w:rsidRDefault="00D80AC0" w:rsidP="00125398">
      <w:pPr>
        <w:widowControl w:val="0"/>
        <w:spacing w:after="200" w:line="360" w:lineRule="auto"/>
        <w:jc w:val="both"/>
        <w:rPr>
          <w:rFonts w:ascii="Arial" w:hAnsi="Arial" w:cs="Arial"/>
          <w:color w:val="000000"/>
        </w:rPr>
      </w:pPr>
      <w:r w:rsidRPr="00F2645B">
        <w:rPr>
          <w:rFonts w:ascii="Arial" w:hAnsi="Arial" w:cs="Arial"/>
          <w:color w:val="000000"/>
        </w:rPr>
        <w:t>Le aliquote non vengono applicate per i beni acquistati nell’esercizio, che iniziano il loro processo di ammortamento nell’esercizio successivo all’acquisto.</w:t>
      </w:r>
      <w:r w:rsidR="006E588D" w:rsidRPr="00F2645B">
        <w:rPr>
          <w:rFonts w:ascii="Arial" w:hAnsi="Arial" w:cs="Arial"/>
          <w:color w:val="000000"/>
        </w:rPr>
        <w:t xml:space="preserve"> </w:t>
      </w:r>
      <w:r w:rsidRPr="00F2645B">
        <w:rPr>
          <w:rFonts w:ascii="Arial" w:hAnsi="Arial" w:cs="Arial"/>
          <w:color w:val="000000"/>
        </w:rPr>
        <w:t>In generale i terreni hanno una vita utile illimitata e non devono essere ammortizzati. Le cave ed i siti utilizzati per le discariche sono inventariati nella categoria “indisponibili terreni” per cui non sono ammortizzati.</w:t>
      </w:r>
      <w:r w:rsidR="006E588D" w:rsidRPr="00F2645B">
        <w:rPr>
          <w:rFonts w:ascii="Arial" w:hAnsi="Arial" w:cs="Arial"/>
          <w:color w:val="000000"/>
        </w:rPr>
        <w:t xml:space="preserve"> </w:t>
      </w:r>
      <w:r w:rsidRPr="00F2645B">
        <w:rPr>
          <w:rFonts w:ascii="Arial" w:hAnsi="Arial" w:cs="Arial"/>
          <w:color w:val="000000"/>
        </w:rPr>
        <w:t>I</w:t>
      </w:r>
      <w:r w:rsidR="000A3E1A">
        <w:rPr>
          <w:rFonts w:ascii="Arial" w:hAnsi="Arial" w:cs="Arial"/>
          <w:color w:val="000000"/>
        </w:rPr>
        <w:t xml:space="preserve"> beni, mobili, qualificati come </w:t>
      </w:r>
      <w:r w:rsidR="00A5456F">
        <w:rPr>
          <w:rFonts w:ascii="Arial" w:hAnsi="Arial" w:cs="Arial"/>
          <w:color w:val="000000"/>
        </w:rPr>
        <w:t>“</w:t>
      </w:r>
      <w:r w:rsidRPr="00F2645B">
        <w:rPr>
          <w:rFonts w:ascii="Arial" w:hAnsi="Arial" w:cs="Arial"/>
          <w:color w:val="000000"/>
        </w:rPr>
        <w:t>beni culturali” ai sensi dell’art. 2 del D.lgs. 42/2004 – Codice dei beni culturali e del paesaggio</w:t>
      </w:r>
      <w:r w:rsidR="00161B4E">
        <w:rPr>
          <w:rFonts w:ascii="Arial" w:hAnsi="Arial" w:cs="Arial"/>
          <w:color w:val="000000"/>
        </w:rPr>
        <w:t xml:space="preserve"> –</w:t>
      </w:r>
      <w:r w:rsidRPr="00F2645B">
        <w:rPr>
          <w:rFonts w:ascii="Arial" w:hAnsi="Arial" w:cs="Arial"/>
          <w:color w:val="000000"/>
        </w:rPr>
        <w:t xml:space="preserve"> o “beni soggetti a tutela” ai sensi dell’art. 136 del medesimo decreto, no</w:t>
      </w:r>
      <w:r w:rsidR="006E588D" w:rsidRPr="00F2645B">
        <w:rPr>
          <w:rFonts w:ascii="Arial" w:hAnsi="Arial" w:cs="Arial"/>
          <w:color w:val="000000"/>
        </w:rPr>
        <w:t>n sono soggetti ad ammortamento</w:t>
      </w:r>
      <w:r w:rsidRPr="00F2645B">
        <w:rPr>
          <w:rFonts w:ascii="Arial" w:hAnsi="Arial" w:cs="Arial"/>
          <w:color w:val="000000"/>
        </w:rPr>
        <w:t>.</w:t>
      </w:r>
    </w:p>
    <w:p w:rsidR="0056513E" w:rsidRPr="00125398" w:rsidRDefault="0056513E" w:rsidP="00125398">
      <w:pPr>
        <w:widowControl w:val="0"/>
        <w:spacing w:after="200" w:line="360" w:lineRule="auto"/>
        <w:jc w:val="both"/>
        <w:rPr>
          <w:rFonts w:ascii="Arial" w:hAnsi="Arial" w:cs="Arial"/>
          <w:color w:val="000000"/>
        </w:rPr>
      </w:pPr>
      <w:r w:rsidRPr="001C24A7">
        <w:rPr>
          <w:rFonts w:ascii="Arial" w:hAnsi="Arial" w:cs="Arial"/>
        </w:rPr>
        <w:t>Si precisa che ai sensi dell’ultimo capoverso del suddetto punto 4.18 i beni immobili sottoposti a vincolo di interesse culturale ex D.lgs</w:t>
      </w:r>
      <w:r w:rsidR="009C7A1C">
        <w:rPr>
          <w:rFonts w:ascii="Arial" w:hAnsi="Arial" w:cs="Arial"/>
        </w:rPr>
        <w:t>.</w:t>
      </w:r>
      <w:r w:rsidRPr="001C24A7">
        <w:rPr>
          <w:rFonts w:ascii="Arial" w:hAnsi="Arial" w:cs="Arial"/>
        </w:rPr>
        <w:t xml:space="preserve"> 42/2004 non sono stati assoggettati ad ammortamento.</w:t>
      </w:r>
    </w:p>
    <w:p w:rsidR="008055E1" w:rsidRDefault="008055E1" w:rsidP="0056513E">
      <w:pPr>
        <w:spacing w:line="360" w:lineRule="auto"/>
        <w:jc w:val="both"/>
        <w:rPr>
          <w:rFonts w:ascii="Arial" w:hAnsi="Arial" w:cs="Arial"/>
        </w:rPr>
      </w:pPr>
      <w:r w:rsidRPr="00632E2C">
        <w:rPr>
          <w:rFonts w:ascii="Arial" w:hAnsi="Arial" w:cs="Arial"/>
        </w:rPr>
        <w:t xml:space="preserve">Nell’ambito delle immobilizzazioni materiali si registra </w:t>
      </w:r>
      <w:r>
        <w:rPr>
          <w:rFonts w:ascii="Arial" w:hAnsi="Arial" w:cs="Arial"/>
        </w:rPr>
        <w:t xml:space="preserve">inoltre </w:t>
      </w:r>
      <w:r w:rsidRPr="00632E2C">
        <w:rPr>
          <w:rFonts w:ascii="Arial" w:hAnsi="Arial" w:cs="Arial"/>
        </w:rPr>
        <w:t>la consistenza delle immobilizzazioni in corso</w:t>
      </w:r>
      <w:r w:rsidR="009F08C2">
        <w:rPr>
          <w:rFonts w:ascii="Arial" w:hAnsi="Arial" w:cs="Arial"/>
        </w:rPr>
        <w:t>. Si tratta dei</w:t>
      </w:r>
      <w:r w:rsidR="00073B47">
        <w:rPr>
          <w:rFonts w:ascii="Arial" w:hAnsi="Arial" w:cs="Arial"/>
        </w:rPr>
        <w:t xml:space="preserve"> </w:t>
      </w:r>
      <w:r w:rsidRPr="00632E2C">
        <w:rPr>
          <w:rFonts w:ascii="Arial" w:hAnsi="Arial" w:cs="Arial"/>
        </w:rPr>
        <w:t xml:space="preserve">cespiti di proprietà e piena disponibilità dell’ente non ancora </w:t>
      </w:r>
      <w:r w:rsidR="0061262D">
        <w:rPr>
          <w:rFonts w:ascii="Arial" w:hAnsi="Arial" w:cs="Arial"/>
        </w:rPr>
        <w:t>utilizzabili perché in fase di realizzazione o, sebbene realizzati, non ancora utilizzabili da parte</w:t>
      </w:r>
      <w:r w:rsidR="00147BC3">
        <w:rPr>
          <w:rFonts w:ascii="Arial" w:hAnsi="Arial" w:cs="Arial"/>
        </w:rPr>
        <w:t xml:space="preserve"> dell’ente</w:t>
      </w:r>
      <w:r w:rsidRPr="00632E2C">
        <w:rPr>
          <w:rFonts w:ascii="Arial" w:hAnsi="Arial" w:cs="Arial"/>
        </w:rPr>
        <w:t>.</w:t>
      </w:r>
      <w:r w:rsidR="00E52A8A">
        <w:rPr>
          <w:rFonts w:ascii="Arial" w:hAnsi="Arial" w:cs="Arial"/>
        </w:rPr>
        <w:t xml:space="preserve"> Le immobiliz</w:t>
      </w:r>
      <w:r w:rsidR="004F59B6">
        <w:rPr>
          <w:rFonts w:ascii="Arial" w:hAnsi="Arial" w:cs="Arial"/>
        </w:rPr>
        <w:t xml:space="preserve">zazioni in corso </w:t>
      </w:r>
      <w:r w:rsidR="00E52A8A">
        <w:rPr>
          <w:rFonts w:ascii="Arial" w:hAnsi="Arial" w:cs="Arial"/>
        </w:rPr>
        <w:t>sono state valutate al costo di produzione.</w:t>
      </w:r>
    </w:p>
    <w:p w:rsidR="00B97013" w:rsidRDefault="00B97013" w:rsidP="0056513E">
      <w:pPr>
        <w:spacing w:line="360" w:lineRule="auto"/>
        <w:jc w:val="both"/>
        <w:rPr>
          <w:rFonts w:ascii="Arial" w:hAnsi="Arial" w:cs="Arial"/>
        </w:rPr>
      </w:pPr>
    </w:p>
    <w:p w:rsidR="00C05C09" w:rsidRPr="00C53AF0" w:rsidRDefault="00A434EC" w:rsidP="00C53AF0">
      <w:pPr>
        <w:pStyle w:val="TITOLO50"/>
      </w:pPr>
      <w:bookmarkStart w:id="13" w:name="_Toc32933013"/>
      <w:r w:rsidRPr="001A76DB">
        <w:t>Immobilizzazioni finanziarie</w:t>
      </w:r>
      <w:bookmarkEnd w:id="13"/>
    </w:p>
    <w:p w:rsidR="00045B00" w:rsidRPr="00045B00" w:rsidRDefault="00045B00" w:rsidP="00045B00">
      <w:pPr>
        <w:spacing w:line="360" w:lineRule="auto"/>
        <w:jc w:val="both"/>
        <w:rPr>
          <w:rFonts w:ascii="Arial" w:hAnsi="Arial" w:cs="Arial"/>
        </w:rPr>
      </w:pPr>
      <w:r w:rsidRPr="00045B00">
        <w:rPr>
          <w:rFonts w:ascii="Arial" w:hAnsi="Arial" w:cs="Arial"/>
        </w:rPr>
        <w:t>Le immobilizzazioni finanziarie riferite alle partecipazioni sono state valutate col criterio indicato dal principio contabile applicato 4/3.</w:t>
      </w:r>
    </w:p>
    <w:p w:rsidR="00045B00" w:rsidRPr="00045B00" w:rsidRDefault="00045B00" w:rsidP="00045B00">
      <w:pPr>
        <w:spacing w:line="360" w:lineRule="auto"/>
        <w:jc w:val="both"/>
        <w:rPr>
          <w:rFonts w:ascii="Arial" w:hAnsi="Arial" w:cs="Arial"/>
        </w:rPr>
      </w:pPr>
      <w:r w:rsidRPr="00045B00">
        <w:rPr>
          <w:rFonts w:ascii="Arial" w:hAnsi="Arial" w:cs="Arial"/>
        </w:rPr>
        <w:t>Le partecipazioni in società controllate e partecipate sono valutate in base al “metodo del patrimonio netto” di cui all’art. 2426 n. 4 codice civile. A tal fine, l’utile o la perdita d’esercizio della partecipata, debitamente rettificato, per la quota di pertinenza, è portato al conto economico, ed ha come contropartita, nello stato patrimoniale, l’incremento o la riduzione della partecipazione. Nell’esercizio successivo, a seguito dell’approvazione del rendiconto della gestione, gli eventuali utili derivanti dall’applicazione del metodo del patrimonio netto devono determinare l’iscrizione di una specifica riserva del patrimonio netto vincolata all’utilizzo del metodo del patrimonio. Nel caso in cui il valore della partecipazione diventi negativo per effetto di perdite, la partecipazione si azzera. Se la partecipante è legalmente o altrimenti impegnata al sostenimento della partecipata, le perdite ulteriori rispetto a quelle che hanno comportato l’azzeramento della partecipazione sono contabilizzate in un fondo per rischi ed oneri.</w:t>
      </w:r>
    </w:p>
    <w:p w:rsidR="00045B00" w:rsidRPr="00045B00" w:rsidRDefault="00045B00" w:rsidP="00045B00">
      <w:pPr>
        <w:spacing w:line="360" w:lineRule="auto"/>
        <w:jc w:val="both"/>
        <w:rPr>
          <w:rFonts w:ascii="Arial" w:hAnsi="Arial" w:cs="Arial"/>
        </w:rPr>
      </w:pPr>
      <w:r w:rsidRPr="00045B00">
        <w:rPr>
          <w:rFonts w:ascii="Arial" w:hAnsi="Arial" w:cs="Arial"/>
        </w:rPr>
        <w:t xml:space="preserve">Nell’esercizio in cui non risulti possibile acquisire il bilancio o il rendiconto (o i relativi schemi predisposti ai fini dell’approvazione) le partecipazioni in società controllate o partecipate sono iscritte nello stato patrimoniale al costo di acquisto o al metodo del patrimonio netto dell’esercizio precedente.   </w:t>
      </w:r>
    </w:p>
    <w:p w:rsidR="00045B00" w:rsidRPr="00045B00" w:rsidRDefault="00045B00" w:rsidP="00045B00">
      <w:pPr>
        <w:spacing w:line="360" w:lineRule="auto"/>
        <w:jc w:val="both"/>
        <w:rPr>
          <w:rFonts w:ascii="Arial" w:hAnsi="Arial" w:cs="Arial"/>
        </w:rPr>
      </w:pPr>
      <w:r w:rsidRPr="00045B00">
        <w:rPr>
          <w:rFonts w:ascii="Arial" w:hAnsi="Arial" w:cs="Arial"/>
        </w:rPr>
        <w:lastRenderedPageBreak/>
        <w:t>Se non è possibile adottare il metodo del patrimonio netto dell’esercizio precedente per l’impossibilità di acquisire il bilancio o il rendiconto di tale esercizio, le partecipazioni sono iscritte al costo di acquisto; per le partecipazioni che non sono state oggetto di operazioni di compravendita cui non è possibile applicare il criterio del costo, si adotta il metodo del “valore del patrimonio netto” dell’esercizio di prima iscrizione nello stato patrimoniale della capogruppo.</w:t>
      </w:r>
    </w:p>
    <w:p w:rsidR="00045B00" w:rsidRPr="00045B00" w:rsidRDefault="00045B00" w:rsidP="00045B00">
      <w:pPr>
        <w:spacing w:line="360" w:lineRule="auto"/>
        <w:jc w:val="both"/>
        <w:rPr>
          <w:rFonts w:ascii="Arial" w:hAnsi="Arial" w:cs="Arial"/>
        </w:rPr>
      </w:pPr>
      <w:r w:rsidRPr="00045B00">
        <w:rPr>
          <w:rFonts w:ascii="Arial" w:hAnsi="Arial" w:cs="Arial"/>
        </w:rPr>
        <w:t xml:space="preserve">Nel rispetto del principio contabile generale n. 11. della continuità e della costanza di cui all’allegato n. 1, l’adozione del criterio del costo di acquisto (o del metodo del patrimonio netto dell’esercizio di prima iscrizione nello stato patrimoniale) diventa definitiva. </w:t>
      </w:r>
    </w:p>
    <w:p w:rsidR="00045B00" w:rsidRPr="00045B00" w:rsidRDefault="00045B00" w:rsidP="00045B00">
      <w:pPr>
        <w:spacing w:line="360" w:lineRule="auto"/>
        <w:jc w:val="both"/>
        <w:rPr>
          <w:rFonts w:ascii="Arial" w:hAnsi="Arial" w:cs="Arial"/>
        </w:rPr>
      </w:pPr>
      <w:r w:rsidRPr="00045B00">
        <w:rPr>
          <w:rFonts w:ascii="Arial" w:hAnsi="Arial" w:cs="Arial"/>
        </w:rPr>
        <w:t xml:space="preserve">Per le partecipazioni non azionarie i criteri di iscrizione e valutazione sono analoghi a quelli valevoli per le azioni. Pertanto, anche le partecipazioni in enti, pubblici e privati, controllati e partecipati, sono valutate in base al “metodo del patrimonio netto”. </w:t>
      </w:r>
    </w:p>
    <w:p w:rsidR="0071434D" w:rsidRDefault="00045B00" w:rsidP="00045B00">
      <w:pPr>
        <w:spacing w:line="360" w:lineRule="auto"/>
        <w:jc w:val="both"/>
        <w:rPr>
          <w:rFonts w:ascii="Arial" w:hAnsi="Arial" w:cs="Arial"/>
        </w:rPr>
      </w:pPr>
      <w:r w:rsidRPr="00045B00">
        <w:rPr>
          <w:rFonts w:ascii="Arial" w:hAnsi="Arial" w:cs="Arial"/>
        </w:rPr>
        <w:t xml:space="preserve">In attuazione dell’articolo 11, comma 6, lettera a), del presente decreto, la relazione sulla gestione allegata al rendiconto indica il criterio di valutazione adottato per tutte le partecipazioni azionarie e non azionare in enti e società controllate e partecipate (se il costo storico o il metodo del patrimonio netto).  </w:t>
      </w:r>
    </w:p>
    <w:p w:rsidR="002C3190" w:rsidRDefault="002C3190" w:rsidP="00D80AC0">
      <w:pPr>
        <w:widowControl w:val="0"/>
        <w:ind w:right="1"/>
        <w:jc w:val="both"/>
        <w:rPr>
          <w:rFonts w:ascii="Arial" w:hAnsi="Arial" w:cs="Arial"/>
          <w:b/>
          <w:bCs/>
          <w:color w:val="000000"/>
          <w:sz w:val="28"/>
          <w:szCs w:val="28"/>
        </w:rPr>
      </w:pPr>
    </w:p>
    <w:p w:rsidR="00D93E92" w:rsidRDefault="00D93E92" w:rsidP="00D80AC0">
      <w:pPr>
        <w:widowControl w:val="0"/>
        <w:ind w:right="1"/>
        <w:jc w:val="both"/>
        <w:rPr>
          <w:rFonts w:ascii="Arial" w:hAnsi="Arial" w:cs="Arial"/>
          <w:b/>
          <w:bCs/>
          <w:color w:val="000000"/>
          <w:sz w:val="28"/>
          <w:szCs w:val="28"/>
        </w:rPr>
      </w:pPr>
    </w:p>
    <w:p w:rsidR="00D93E92" w:rsidRDefault="00D93E92" w:rsidP="00D80AC0">
      <w:pPr>
        <w:widowControl w:val="0"/>
        <w:ind w:right="1"/>
        <w:jc w:val="both"/>
        <w:rPr>
          <w:rFonts w:ascii="Arial" w:hAnsi="Arial" w:cs="Arial"/>
          <w:b/>
          <w:bCs/>
          <w:color w:val="000000"/>
          <w:sz w:val="28"/>
          <w:szCs w:val="28"/>
        </w:rPr>
      </w:pPr>
    </w:p>
    <w:p w:rsidR="00D93E92" w:rsidRDefault="00D93E92" w:rsidP="00D80AC0">
      <w:pPr>
        <w:widowControl w:val="0"/>
        <w:ind w:right="1"/>
        <w:jc w:val="both"/>
        <w:rPr>
          <w:rFonts w:ascii="Arial" w:hAnsi="Arial" w:cs="Arial"/>
          <w:b/>
          <w:bCs/>
          <w:color w:val="000000"/>
          <w:sz w:val="28"/>
          <w:szCs w:val="28"/>
        </w:rPr>
      </w:pPr>
    </w:p>
    <w:p w:rsidR="004F5FFA" w:rsidRDefault="004F5FFA" w:rsidP="00ED0AE6">
      <w:pPr>
        <w:pStyle w:val="TITOLO40"/>
      </w:pPr>
      <w:bookmarkStart w:id="14" w:name="_Toc32933014"/>
      <w:r>
        <w:t>Attivo circolante</w:t>
      </w:r>
      <w:bookmarkEnd w:id="14"/>
    </w:p>
    <w:p w:rsidR="00D93E92" w:rsidRDefault="00D93E92" w:rsidP="00ED0AE6">
      <w:pPr>
        <w:pStyle w:val="TITOLO40"/>
      </w:pPr>
    </w:p>
    <w:p w:rsidR="00D90A79" w:rsidRDefault="00D90A79" w:rsidP="003D69A9">
      <w:pPr>
        <w:pStyle w:val="TITOLO50"/>
      </w:pPr>
      <w:bookmarkStart w:id="15" w:name="_Toc32933015"/>
      <w:r>
        <w:t>Rimanenze</w:t>
      </w:r>
      <w:bookmarkEnd w:id="15"/>
    </w:p>
    <w:p w:rsidR="001B7D8E" w:rsidRDefault="004430B5" w:rsidP="00F2650C">
      <w:pPr>
        <w:widowControl w:val="0"/>
        <w:spacing w:line="360" w:lineRule="auto"/>
        <w:ind w:right="1"/>
        <w:rPr>
          <w:rFonts w:ascii="Arial" w:hAnsi="Arial" w:cs="Arial"/>
          <w:bCs/>
          <w:color w:val="000000"/>
        </w:rPr>
      </w:pPr>
      <w:r>
        <w:rPr>
          <w:rFonts w:ascii="Arial" w:hAnsi="Arial" w:cs="Arial"/>
          <w:bCs/>
          <w:color w:val="000000"/>
        </w:rPr>
        <w:t>Le rimanenze</w:t>
      </w:r>
      <w:r w:rsidR="00B25188" w:rsidRPr="00B25188">
        <w:rPr>
          <w:rFonts w:ascii="Arial" w:hAnsi="Arial" w:cs="Arial"/>
          <w:bCs/>
          <w:color w:val="000000"/>
        </w:rPr>
        <w:t xml:space="preserve"> rilevate </w:t>
      </w:r>
      <w:r>
        <w:rPr>
          <w:rFonts w:ascii="Arial" w:hAnsi="Arial" w:cs="Arial"/>
          <w:bCs/>
          <w:color w:val="000000"/>
        </w:rPr>
        <w:t xml:space="preserve">alla </w:t>
      </w:r>
      <w:r w:rsidR="00B25188" w:rsidRPr="00B25188">
        <w:rPr>
          <w:rFonts w:ascii="Arial" w:hAnsi="Arial" w:cs="Arial"/>
          <w:bCs/>
          <w:color w:val="000000"/>
        </w:rPr>
        <w:t>fine dell’esercizio</w:t>
      </w:r>
      <w:r>
        <w:rPr>
          <w:rFonts w:ascii="Arial" w:hAnsi="Arial" w:cs="Arial"/>
          <w:bCs/>
          <w:color w:val="000000"/>
        </w:rPr>
        <w:t xml:space="preserve"> sono</w:t>
      </w:r>
      <w:r w:rsidR="00B25188" w:rsidRPr="00B25188">
        <w:rPr>
          <w:rFonts w:ascii="Arial" w:hAnsi="Arial" w:cs="Arial"/>
          <w:bCs/>
          <w:color w:val="000000"/>
        </w:rPr>
        <w:t xml:space="preserve"> valutate al minore fra il costo di acquisto e il valore di presumibile realizzazione desunto dall’andamento del mercato (art. 2426, n.9, codice civile).</w:t>
      </w:r>
    </w:p>
    <w:p w:rsidR="003A387A" w:rsidRDefault="003A387A" w:rsidP="00D80AC0">
      <w:pPr>
        <w:widowControl w:val="0"/>
        <w:ind w:right="1"/>
        <w:jc w:val="both"/>
        <w:rPr>
          <w:rFonts w:ascii="Arial" w:hAnsi="Arial" w:cs="Arial"/>
        </w:rPr>
      </w:pPr>
    </w:p>
    <w:p w:rsidR="00D93E92" w:rsidRDefault="00D93E92" w:rsidP="00D80AC0">
      <w:pPr>
        <w:widowControl w:val="0"/>
        <w:ind w:right="1"/>
        <w:jc w:val="both"/>
        <w:rPr>
          <w:rFonts w:ascii="Arial" w:hAnsi="Arial" w:cs="Arial"/>
        </w:rPr>
      </w:pPr>
    </w:p>
    <w:p w:rsidR="003A387A" w:rsidRPr="00D90A79" w:rsidRDefault="003A387A" w:rsidP="00D80AC0">
      <w:pPr>
        <w:widowControl w:val="0"/>
        <w:ind w:right="1"/>
        <w:jc w:val="both"/>
        <w:rPr>
          <w:rFonts w:ascii="Arial" w:hAnsi="Arial" w:cs="Arial"/>
        </w:rPr>
      </w:pPr>
    </w:p>
    <w:p w:rsidR="00E01F1C" w:rsidRPr="00CF247F" w:rsidRDefault="00CF247F" w:rsidP="003D69A9">
      <w:pPr>
        <w:pStyle w:val="TITOLO50"/>
      </w:pPr>
      <w:bookmarkStart w:id="16" w:name="_Toc32933016"/>
      <w:r w:rsidRPr="00CF247F">
        <w:t>Crediti</w:t>
      </w:r>
      <w:bookmarkEnd w:id="16"/>
    </w:p>
    <w:p w:rsidR="00C94F35" w:rsidRDefault="00FB2B3A" w:rsidP="00740F47">
      <w:pPr>
        <w:widowControl w:val="0"/>
        <w:spacing w:after="200" w:line="360" w:lineRule="auto"/>
        <w:jc w:val="both"/>
        <w:rPr>
          <w:rFonts w:ascii="Arial" w:hAnsi="Arial" w:cs="Arial"/>
          <w:color w:val="000000"/>
        </w:rPr>
      </w:pPr>
      <w:r>
        <w:rPr>
          <w:rFonts w:ascii="Arial" w:hAnsi="Arial" w:cs="Arial"/>
          <w:color w:val="000000"/>
        </w:rPr>
        <w:t>I</w:t>
      </w:r>
      <w:r w:rsidR="00D80AC0" w:rsidRPr="00F2645B">
        <w:rPr>
          <w:rFonts w:ascii="Arial" w:hAnsi="Arial" w:cs="Arial"/>
          <w:color w:val="000000"/>
        </w:rPr>
        <w:t xml:space="preserve"> crediti sono esposti al valore nominale</w:t>
      </w:r>
      <w:r w:rsidR="004F0EC0">
        <w:rPr>
          <w:rFonts w:ascii="Arial" w:hAnsi="Arial" w:cs="Arial"/>
          <w:color w:val="000000"/>
        </w:rPr>
        <w:t xml:space="preserve">, </w:t>
      </w:r>
      <w:r w:rsidR="00FD7A44" w:rsidRPr="00C53AF0">
        <w:rPr>
          <w:rFonts w:ascii="Arial" w:hAnsi="Arial" w:cs="Arial"/>
          <w:color w:val="000000"/>
        </w:rPr>
        <w:t>ricondotto al presumibile valore di realizzo, attraverso il fondo svalutazione crediti</w:t>
      </w:r>
      <w:r w:rsidR="00C53AF0" w:rsidRPr="00C53AF0">
        <w:rPr>
          <w:rFonts w:ascii="Arial" w:hAnsi="Arial" w:cs="Arial"/>
          <w:color w:val="000000"/>
        </w:rPr>
        <w:t>, portato in diminuzione degli stessi</w:t>
      </w:r>
      <w:r w:rsidR="00D80AC0" w:rsidRPr="00F2645B">
        <w:rPr>
          <w:rFonts w:ascii="Arial" w:hAnsi="Arial" w:cs="Arial"/>
          <w:color w:val="000000"/>
        </w:rPr>
        <w:t xml:space="preserve">. </w:t>
      </w:r>
      <w:r w:rsidR="001B7D8E">
        <w:rPr>
          <w:rFonts w:ascii="Arial" w:hAnsi="Arial" w:cs="Arial"/>
          <w:color w:val="000000"/>
        </w:rPr>
        <w:t xml:space="preserve"> </w:t>
      </w:r>
    </w:p>
    <w:p w:rsidR="00DE723C" w:rsidRDefault="00740F47" w:rsidP="00740F47">
      <w:pPr>
        <w:spacing w:line="360" w:lineRule="auto"/>
        <w:jc w:val="both"/>
        <w:rPr>
          <w:rFonts w:ascii="Arial" w:hAnsi="Arial" w:cs="Arial"/>
          <w:color w:val="000000"/>
        </w:rPr>
      </w:pPr>
      <w:r w:rsidRPr="00F2645B">
        <w:rPr>
          <w:rFonts w:ascii="Arial" w:hAnsi="Arial" w:cs="Arial"/>
          <w:color w:val="000000"/>
        </w:rPr>
        <w:t xml:space="preserve">I crediti </w:t>
      </w:r>
      <w:r w:rsidR="00E940AE" w:rsidRPr="00E940AE">
        <w:rPr>
          <w:rFonts w:ascii="Arial" w:hAnsi="Arial" w:cs="Arial"/>
          <w:color w:val="000000"/>
        </w:rPr>
        <w:t>sono iscritti nello stato patrimoniale al netto dell’importo del relativo fondo svalutazione crediti e incrementati dell’importo degli eventuali residui attivi stralciati dal conto del bilancio</w:t>
      </w:r>
      <w:r w:rsidR="00E90E38">
        <w:rPr>
          <w:rFonts w:ascii="Arial" w:hAnsi="Arial" w:cs="Arial"/>
          <w:color w:val="000000"/>
        </w:rPr>
        <w:t>.</w:t>
      </w:r>
      <w:r w:rsidR="00E90E38" w:rsidRPr="00F2645B">
        <w:rPr>
          <w:rFonts w:ascii="Arial" w:hAnsi="Arial" w:cs="Arial"/>
          <w:color w:val="000000"/>
        </w:rPr>
        <w:t xml:space="preserve"> </w:t>
      </w:r>
    </w:p>
    <w:p w:rsidR="00870242" w:rsidRDefault="00870242" w:rsidP="00740F47">
      <w:pPr>
        <w:spacing w:line="360" w:lineRule="auto"/>
        <w:jc w:val="both"/>
        <w:rPr>
          <w:rFonts w:ascii="Arial" w:hAnsi="Arial" w:cs="Arial"/>
          <w:color w:val="000000"/>
        </w:rPr>
      </w:pPr>
      <w:r w:rsidRPr="00962686">
        <w:rPr>
          <w:rFonts w:ascii="Arial" w:hAnsi="Arial" w:cs="Arial"/>
          <w:color w:val="000000"/>
        </w:rPr>
        <w:t>Il fondo svalutazione crediti è stato portato</w:t>
      </w:r>
      <w:r w:rsidR="00DC7448">
        <w:rPr>
          <w:rFonts w:ascii="Arial" w:hAnsi="Arial" w:cs="Arial"/>
          <w:color w:val="000000"/>
        </w:rPr>
        <w:t xml:space="preserve"> quindi</w:t>
      </w:r>
      <w:r w:rsidRPr="00962686">
        <w:rPr>
          <w:rFonts w:ascii="Arial" w:hAnsi="Arial" w:cs="Arial"/>
          <w:color w:val="000000"/>
        </w:rPr>
        <w:t xml:space="preserve"> in detrazione delle voci di credito a cui si riferisce.</w:t>
      </w:r>
      <w:r>
        <w:rPr>
          <w:rFonts w:ascii="Arial" w:hAnsi="Arial" w:cs="Arial"/>
          <w:color w:val="000000"/>
        </w:rPr>
        <w:t xml:space="preserve"> </w:t>
      </w:r>
    </w:p>
    <w:p w:rsidR="00DE723C" w:rsidRDefault="00DE723C" w:rsidP="00740F47">
      <w:pPr>
        <w:spacing w:line="360" w:lineRule="auto"/>
        <w:jc w:val="both"/>
        <w:rPr>
          <w:rFonts w:ascii="Arial" w:hAnsi="Arial" w:cs="Arial"/>
          <w:color w:val="000000"/>
        </w:rPr>
      </w:pPr>
      <w:r>
        <w:rPr>
          <w:rFonts w:ascii="Arial" w:hAnsi="Arial" w:cs="Arial"/>
          <w:color w:val="000000"/>
        </w:rPr>
        <w:t>I</w:t>
      </w:r>
      <w:r w:rsidR="00740F47" w:rsidRPr="00F2645B">
        <w:rPr>
          <w:rFonts w:ascii="Arial" w:hAnsi="Arial" w:cs="Arial"/>
          <w:color w:val="000000"/>
        </w:rPr>
        <w:t xml:space="preserve"> crediti ines</w:t>
      </w:r>
      <w:r w:rsidR="00740F47">
        <w:rPr>
          <w:rFonts w:ascii="Arial" w:hAnsi="Arial" w:cs="Arial"/>
          <w:color w:val="000000"/>
        </w:rPr>
        <w:t>i</w:t>
      </w:r>
      <w:r>
        <w:rPr>
          <w:rFonts w:ascii="Arial" w:hAnsi="Arial" w:cs="Arial"/>
          <w:color w:val="000000"/>
        </w:rPr>
        <w:t xml:space="preserve">gibili stralciati dalla contabilità finanziaria </w:t>
      </w:r>
      <w:r w:rsidR="001213EC">
        <w:rPr>
          <w:rFonts w:ascii="Arial" w:hAnsi="Arial" w:cs="Arial"/>
          <w:color w:val="000000"/>
        </w:rPr>
        <w:t>sono mantenuti nello stato p</w:t>
      </w:r>
      <w:r w:rsidR="00740F47" w:rsidRPr="00F2645B">
        <w:rPr>
          <w:rFonts w:ascii="Arial" w:hAnsi="Arial" w:cs="Arial"/>
          <w:color w:val="000000"/>
        </w:rPr>
        <w:t xml:space="preserve">atrimoniale, interamente </w:t>
      </w:r>
      <w:r>
        <w:rPr>
          <w:rFonts w:ascii="Arial" w:hAnsi="Arial" w:cs="Arial"/>
          <w:color w:val="000000"/>
        </w:rPr>
        <w:t>svalutati</w:t>
      </w:r>
      <w:r w:rsidR="00740F47" w:rsidRPr="00F2645B">
        <w:rPr>
          <w:rFonts w:ascii="Arial" w:hAnsi="Arial" w:cs="Arial"/>
          <w:color w:val="000000"/>
        </w:rPr>
        <w:t xml:space="preserve">. </w:t>
      </w:r>
    </w:p>
    <w:p w:rsidR="00D93E92" w:rsidRDefault="00D93E92" w:rsidP="00740F47">
      <w:pPr>
        <w:spacing w:line="360" w:lineRule="auto"/>
        <w:jc w:val="both"/>
        <w:rPr>
          <w:rFonts w:ascii="Arial" w:hAnsi="Arial" w:cs="Arial"/>
          <w:color w:val="000000"/>
        </w:rPr>
      </w:pPr>
    </w:p>
    <w:p w:rsidR="00D93E92" w:rsidRDefault="00D93E92" w:rsidP="00740F47">
      <w:pPr>
        <w:spacing w:line="360" w:lineRule="auto"/>
        <w:jc w:val="both"/>
        <w:rPr>
          <w:rFonts w:ascii="Arial" w:hAnsi="Arial" w:cs="Arial"/>
          <w:color w:val="000000"/>
        </w:rPr>
      </w:pPr>
    </w:p>
    <w:p w:rsidR="00D93E92" w:rsidRDefault="00D93E92" w:rsidP="00740F47">
      <w:pPr>
        <w:spacing w:line="360" w:lineRule="auto"/>
        <w:jc w:val="both"/>
        <w:rPr>
          <w:rFonts w:ascii="Arial" w:hAnsi="Arial" w:cs="Arial"/>
          <w:color w:val="000000"/>
        </w:rPr>
      </w:pPr>
    </w:p>
    <w:p w:rsidR="00D93E92" w:rsidRDefault="00D93E92" w:rsidP="00740F47">
      <w:pPr>
        <w:spacing w:line="360" w:lineRule="auto"/>
        <w:jc w:val="both"/>
        <w:rPr>
          <w:rFonts w:ascii="Arial" w:hAnsi="Arial" w:cs="Arial"/>
          <w:color w:val="000000"/>
        </w:rPr>
      </w:pPr>
    </w:p>
    <w:p w:rsidR="00E90E38" w:rsidRDefault="00E90E38" w:rsidP="00E90E38">
      <w:pPr>
        <w:spacing w:line="360" w:lineRule="auto"/>
        <w:jc w:val="both"/>
        <w:rPr>
          <w:rFonts w:ascii="Arial" w:hAnsi="Arial" w:cs="Arial"/>
          <w:color w:val="000000"/>
        </w:rPr>
      </w:pPr>
      <w:r w:rsidRPr="009D7904">
        <w:rPr>
          <w:rFonts w:ascii="Arial" w:hAnsi="Arial" w:cs="Arial"/>
          <w:color w:val="000000"/>
        </w:rPr>
        <w:lastRenderedPageBreak/>
        <w:t>Si riporta di seguito la conciliazione fra i crediti della contabilità economico-patrimoniale e i residui attivi della contabilità finanziaria.</w:t>
      </w:r>
    </w:p>
    <w:p w:rsidR="00163546" w:rsidRDefault="00163546" w:rsidP="00E90E38">
      <w:pPr>
        <w:spacing w:line="360" w:lineRule="auto"/>
        <w:jc w:val="both"/>
        <w:rPr>
          <w:rFonts w:ascii="Arial" w:hAnsi="Arial" w:cs="Arial"/>
          <w:color w:val="000000"/>
        </w:rPr>
      </w:pPr>
    </w:p>
    <w:p w:rsidR="00E90E38" w:rsidRDefault="00D93E92" w:rsidP="00D93E92">
      <w:pPr>
        <w:spacing w:line="360" w:lineRule="auto"/>
        <w:jc w:val="center"/>
        <w:rPr>
          <w:rFonts w:ascii="Arial" w:hAnsi="Arial" w:cs="Arial"/>
          <w:color w:val="000000"/>
        </w:rPr>
      </w:pPr>
      <w:r w:rsidRPr="00D93E92">
        <w:rPr>
          <w:noProof/>
        </w:rPr>
        <w:drawing>
          <wp:inline distT="0" distB="0" distL="0" distR="0">
            <wp:extent cx="4848225" cy="2314575"/>
            <wp:effectExtent l="1905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4848225" cy="2314575"/>
                    </a:xfrm>
                    <a:prstGeom prst="rect">
                      <a:avLst/>
                    </a:prstGeom>
                    <a:noFill/>
                    <a:ln w="9525">
                      <a:noFill/>
                      <a:miter lim="800000"/>
                      <a:headEnd/>
                      <a:tailEnd/>
                    </a:ln>
                  </pic:spPr>
                </pic:pic>
              </a:graphicData>
            </a:graphic>
          </wp:inline>
        </w:drawing>
      </w:r>
      <w:r w:rsidR="00BD451E">
        <w:rPr>
          <w:rFonts w:ascii="Arial" w:hAnsi="Arial" w:cs="Arial"/>
          <w:color w:val="000000"/>
        </w:rPr>
        <w:br w:type="textWrapping" w:clear="all"/>
      </w:r>
    </w:p>
    <w:p w:rsidR="002A2980" w:rsidRPr="00125398" w:rsidRDefault="002A2980" w:rsidP="003D69A9">
      <w:pPr>
        <w:pStyle w:val="TITOLO50"/>
      </w:pPr>
      <w:bookmarkStart w:id="17" w:name="_Toc32933017"/>
      <w:r w:rsidRPr="00125398">
        <w:t>Attività finanziarie che non costituiscono immobilizzazioni</w:t>
      </w:r>
      <w:bookmarkEnd w:id="17"/>
      <w:r w:rsidR="00BC57FC" w:rsidRPr="00125398">
        <w:t xml:space="preserve"> </w:t>
      </w:r>
    </w:p>
    <w:p w:rsidR="00B25188" w:rsidRPr="00F2645B" w:rsidRDefault="00125398" w:rsidP="00B25188">
      <w:pPr>
        <w:spacing w:line="360" w:lineRule="auto"/>
        <w:jc w:val="both"/>
        <w:rPr>
          <w:rFonts w:ascii="Arial" w:hAnsi="Arial" w:cs="Arial"/>
          <w:color w:val="000000"/>
        </w:rPr>
      </w:pPr>
      <w:r w:rsidRPr="00125398">
        <w:rPr>
          <w:rFonts w:ascii="Arial" w:hAnsi="Arial" w:cs="Arial"/>
          <w:color w:val="000000"/>
        </w:rPr>
        <w:t xml:space="preserve">Gli eventuali valori </w:t>
      </w:r>
      <w:r w:rsidR="00B25188" w:rsidRPr="00125398">
        <w:rPr>
          <w:rFonts w:ascii="Arial" w:hAnsi="Arial" w:cs="Arial"/>
          <w:color w:val="000000"/>
        </w:rPr>
        <w:t xml:space="preserve">delle Attività finanziarie che non costituiscono immobilizzazioni </w:t>
      </w:r>
      <w:r w:rsidRPr="00125398">
        <w:rPr>
          <w:rFonts w:ascii="Arial" w:hAnsi="Arial" w:cs="Arial"/>
          <w:color w:val="000000"/>
        </w:rPr>
        <w:t xml:space="preserve">sono stati </w:t>
      </w:r>
      <w:r w:rsidR="00B25188" w:rsidRPr="00125398">
        <w:rPr>
          <w:rFonts w:ascii="Arial" w:hAnsi="Arial" w:cs="Arial"/>
          <w:color w:val="000000"/>
        </w:rPr>
        <w:t>valutat</w:t>
      </w:r>
      <w:r w:rsidRPr="00125398">
        <w:rPr>
          <w:rFonts w:ascii="Arial" w:hAnsi="Arial" w:cs="Arial"/>
          <w:color w:val="000000"/>
        </w:rPr>
        <w:t>i</w:t>
      </w:r>
      <w:r w:rsidR="00B25188" w:rsidRPr="00125398">
        <w:rPr>
          <w:rFonts w:ascii="Arial" w:hAnsi="Arial" w:cs="Arial"/>
          <w:color w:val="000000"/>
        </w:rPr>
        <w:t xml:space="preserve"> al minore fra il costo di acquisizione e il presumibile valore di realizzo desumibile dall’andamento del mercato.</w:t>
      </w:r>
      <w:r w:rsidR="00B25188">
        <w:rPr>
          <w:rFonts w:ascii="Arial" w:hAnsi="Arial" w:cs="Arial"/>
          <w:color w:val="000000"/>
        </w:rPr>
        <w:t xml:space="preserve"> </w:t>
      </w:r>
    </w:p>
    <w:p w:rsidR="006E588D" w:rsidRDefault="006E588D" w:rsidP="00D80AC0">
      <w:pPr>
        <w:widowControl w:val="0"/>
        <w:ind w:right="1"/>
        <w:jc w:val="both"/>
        <w:rPr>
          <w:rFonts w:ascii="Arial" w:hAnsi="Arial" w:cs="Arial"/>
          <w:b/>
          <w:bCs/>
          <w:color w:val="000000"/>
        </w:rPr>
      </w:pPr>
    </w:p>
    <w:p w:rsidR="00C50218" w:rsidRPr="00F2645B" w:rsidRDefault="00D962F8" w:rsidP="00DE723C">
      <w:pPr>
        <w:pStyle w:val="TITOLO50"/>
      </w:pPr>
      <w:bookmarkStart w:id="18" w:name="_Toc32933018"/>
      <w:r w:rsidRPr="00D962F8">
        <w:t>Disponibilità liquide</w:t>
      </w:r>
      <w:bookmarkEnd w:id="18"/>
    </w:p>
    <w:p w:rsidR="00DE723C" w:rsidRDefault="00DE723C" w:rsidP="00DE723C">
      <w:pPr>
        <w:spacing w:line="360" w:lineRule="auto"/>
        <w:jc w:val="both"/>
        <w:rPr>
          <w:rFonts w:ascii="Arial" w:hAnsi="Arial" w:cs="Arial"/>
          <w:color w:val="000000"/>
        </w:rPr>
      </w:pPr>
      <w:r w:rsidRPr="00F2645B">
        <w:rPr>
          <w:rFonts w:ascii="Arial" w:hAnsi="Arial" w:cs="Arial"/>
          <w:color w:val="000000"/>
        </w:rPr>
        <w:t>Il saldo rappresenta le disponibilità liquide e l'esistenza d</w:t>
      </w:r>
      <w:r w:rsidRPr="00E52D4B">
        <w:rPr>
          <w:rFonts w:ascii="Arial" w:hAnsi="Arial" w:cs="Arial"/>
        </w:rPr>
        <w:t>i numerario</w:t>
      </w:r>
      <w:r>
        <w:rPr>
          <w:rFonts w:ascii="Arial" w:hAnsi="Arial" w:cs="Arial"/>
          <w:color w:val="000000"/>
        </w:rPr>
        <w:t xml:space="preserve"> </w:t>
      </w:r>
      <w:r w:rsidRPr="00F2645B">
        <w:rPr>
          <w:rFonts w:ascii="Arial" w:hAnsi="Arial" w:cs="Arial"/>
          <w:color w:val="000000"/>
        </w:rPr>
        <w:t xml:space="preserve">e di valori alla data di chiusura dell'esercizio. </w:t>
      </w:r>
    </w:p>
    <w:p w:rsidR="00B25188" w:rsidRDefault="00B25188" w:rsidP="00C50218">
      <w:pPr>
        <w:spacing w:line="360" w:lineRule="auto"/>
        <w:jc w:val="both"/>
        <w:rPr>
          <w:rFonts w:ascii="Arial" w:hAnsi="Arial" w:cs="Arial"/>
          <w:color w:val="000000"/>
        </w:rPr>
      </w:pPr>
    </w:p>
    <w:p w:rsidR="00DA5C9E" w:rsidRDefault="00DA5C9E" w:rsidP="00ED0AE6">
      <w:pPr>
        <w:pStyle w:val="TITOLO40"/>
      </w:pPr>
      <w:bookmarkStart w:id="19" w:name="_Toc32933019"/>
      <w:r>
        <w:t xml:space="preserve">Patrimonio </w:t>
      </w:r>
      <w:r w:rsidR="00CB745A">
        <w:t>netto</w:t>
      </w:r>
      <w:bookmarkEnd w:id="19"/>
    </w:p>
    <w:p w:rsidR="00D83006" w:rsidRDefault="00D83006" w:rsidP="00D83006">
      <w:pPr>
        <w:widowControl w:val="0"/>
        <w:spacing w:line="360" w:lineRule="auto"/>
        <w:ind w:right="1"/>
        <w:jc w:val="both"/>
        <w:rPr>
          <w:rFonts w:ascii="Arial" w:hAnsi="Arial" w:cs="Arial"/>
          <w:color w:val="000000"/>
        </w:rPr>
      </w:pPr>
      <w:r w:rsidRPr="00D83006">
        <w:rPr>
          <w:rFonts w:ascii="Arial" w:hAnsi="Arial" w:cs="Arial"/>
          <w:color w:val="000000"/>
        </w:rPr>
        <w:t xml:space="preserve">Il patrimonio netto </w:t>
      </w:r>
      <w:r w:rsidR="00DE723C">
        <w:rPr>
          <w:rFonts w:ascii="Arial" w:hAnsi="Arial" w:cs="Arial"/>
          <w:color w:val="000000"/>
        </w:rPr>
        <w:t>dell’ente</w:t>
      </w:r>
      <w:r w:rsidR="004C5BD3">
        <w:rPr>
          <w:rFonts w:ascii="Arial" w:hAnsi="Arial" w:cs="Arial"/>
          <w:color w:val="000000"/>
        </w:rPr>
        <w:t xml:space="preserve"> </w:t>
      </w:r>
      <w:r w:rsidRPr="00D83006">
        <w:rPr>
          <w:rFonts w:ascii="Arial" w:hAnsi="Arial" w:cs="Arial"/>
          <w:color w:val="000000"/>
        </w:rPr>
        <w:t>deve esporre anche i valori delle riserve indisponibili per beni demaniali e patrimoniali indisponibili e per i beni culturali, oltre che delle altre riserve indisponibili.</w:t>
      </w:r>
    </w:p>
    <w:p w:rsidR="007126D9" w:rsidRDefault="007126D9" w:rsidP="00D83006">
      <w:pPr>
        <w:widowControl w:val="0"/>
        <w:spacing w:line="360" w:lineRule="auto"/>
        <w:ind w:right="1"/>
        <w:jc w:val="both"/>
        <w:rPr>
          <w:rFonts w:ascii="Arial" w:hAnsi="Arial" w:cs="Arial"/>
          <w:color w:val="000000"/>
        </w:rPr>
      </w:pPr>
      <w:r w:rsidRPr="007126D9">
        <w:rPr>
          <w:rFonts w:ascii="Arial" w:hAnsi="Arial" w:cs="Arial"/>
          <w:color w:val="000000"/>
        </w:rPr>
        <w:t>A decorrere dall’anno 2020 alle voci della Situazione patrimoniale riguardanti il fondo di dotazione e le riserve del patrimonio netto sono attribuiti valori pari a quelli risultanti dalle corrispondenti voci dell’ultimo Stato patrimoniale approvato, tenendo conto delle variazioni eventualmente deliberate dal Consiglio comunale</w:t>
      </w:r>
      <w:r>
        <w:rPr>
          <w:rFonts w:ascii="Arial" w:hAnsi="Arial" w:cs="Arial"/>
          <w:color w:val="000000"/>
        </w:rPr>
        <w:t>.</w:t>
      </w:r>
      <w:r w:rsidRPr="007126D9">
        <w:rPr>
          <w:rFonts w:ascii="Arial" w:hAnsi="Arial" w:cs="Arial"/>
          <w:color w:val="000000"/>
        </w:rPr>
        <w:t xml:space="preserve"> </w:t>
      </w:r>
    </w:p>
    <w:p w:rsidR="00D83006" w:rsidRPr="00D83006" w:rsidRDefault="00D83006" w:rsidP="00D83006">
      <w:pPr>
        <w:widowControl w:val="0"/>
        <w:spacing w:line="360" w:lineRule="auto"/>
        <w:ind w:right="1"/>
        <w:jc w:val="both"/>
        <w:rPr>
          <w:rFonts w:ascii="Arial" w:hAnsi="Arial" w:cs="Arial"/>
          <w:color w:val="000000"/>
        </w:rPr>
      </w:pPr>
      <w:r w:rsidRPr="00D83006">
        <w:rPr>
          <w:rFonts w:ascii="Arial" w:hAnsi="Arial" w:cs="Arial"/>
          <w:color w:val="000000"/>
        </w:rPr>
        <w:t>Per dare attuazione alla novità nella voce riserve indisponibili</w:t>
      </w:r>
      <w:r w:rsidR="00C87DA3" w:rsidRPr="00C87DA3">
        <w:rPr>
          <w:rFonts w:ascii="Arial" w:hAnsi="Arial" w:cs="Arial"/>
          <w:color w:val="000000"/>
        </w:rPr>
        <w:tab/>
        <w:t>per beni demaniali e patrimoniali indisponibili e per i beni culturali</w:t>
      </w:r>
      <w:r w:rsidR="00C87DA3">
        <w:rPr>
          <w:rFonts w:ascii="Arial" w:hAnsi="Arial" w:cs="Arial"/>
          <w:color w:val="000000"/>
        </w:rPr>
        <w:t xml:space="preserve"> </w:t>
      </w:r>
      <w:r w:rsidR="00C87DA3" w:rsidRPr="00D83006">
        <w:rPr>
          <w:rFonts w:ascii="Arial" w:hAnsi="Arial" w:cs="Arial"/>
          <w:color w:val="000000"/>
        </w:rPr>
        <w:t>(voce d)</w:t>
      </w:r>
      <w:r w:rsidR="00C87DA3" w:rsidRPr="00C87DA3">
        <w:rPr>
          <w:rFonts w:ascii="Arial" w:hAnsi="Arial" w:cs="Arial"/>
          <w:color w:val="000000"/>
        </w:rPr>
        <w:t>, è attribuito un importo pari al valore dei beni demaniali, patrimoniali e culturali” al netto degli ammortamenti, corrispondente a quello iscritto nell’attivo patrimoniale;</w:t>
      </w:r>
      <w:r w:rsidR="00C87DA3" w:rsidRPr="00C87DA3" w:rsidDel="00C87DA3">
        <w:rPr>
          <w:rFonts w:ascii="Arial" w:hAnsi="Arial" w:cs="Arial"/>
          <w:color w:val="000000"/>
        </w:rPr>
        <w:t xml:space="preserve"> </w:t>
      </w:r>
      <w:r w:rsidRPr="00D83006">
        <w:rPr>
          <w:rFonts w:ascii="Arial" w:hAnsi="Arial" w:cs="Arial"/>
          <w:color w:val="000000"/>
        </w:rPr>
        <w:t>Tali riserve nel corso degli anni sono utilizzate in caso di cessione dei beni, mentre aumentano in conseguenza dell’acquisizione di nuovi cespiti o del sostenimento di man</w:t>
      </w:r>
      <w:r w:rsidR="00BD148C">
        <w:rPr>
          <w:rFonts w:ascii="Arial" w:hAnsi="Arial" w:cs="Arial"/>
          <w:color w:val="000000"/>
        </w:rPr>
        <w:t xml:space="preserve">utenzioni straordinarie. Per i </w:t>
      </w:r>
      <w:r w:rsidRPr="00D83006">
        <w:rPr>
          <w:rFonts w:ascii="Arial" w:hAnsi="Arial" w:cs="Arial"/>
          <w:color w:val="000000"/>
        </w:rPr>
        <w:t>beni demaniali e patrimoniali soggetti ad ammortamento, le riserve in questione sono poi ridotte annualmente per sterilizzare l’ammortamento di competenza dell’esercizio, attraverso un’apposita scrittura di rettifica.</w:t>
      </w:r>
    </w:p>
    <w:p w:rsidR="00D83006" w:rsidRDefault="00D83006" w:rsidP="00D83006">
      <w:pPr>
        <w:widowControl w:val="0"/>
        <w:spacing w:line="360" w:lineRule="auto"/>
        <w:ind w:right="1"/>
        <w:jc w:val="both"/>
        <w:rPr>
          <w:rFonts w:ascii="Arial" w:hAnsi="Arial" w:cs="Arial"/>
          <w:color w:val="000000"/>
        </w:rPr>
      </w:pPr>
      <w:r w:rsidRPr="00D83006">
        <w:rPr>
          <w:rFonts w:ascii="Arial" w:hAnsi="Arial" w:cs="Arial"/>
          <w:color w:val="000000"/>
        </w:rPr>
        <w:t xml:space="preserve">La voce e), altre riserve indisponibili, rappresenta il valore dei conferimenti al fondo di dotazione di enti le cui partecipazioni non hanno valore di liquidazione, in quanto il loro statuto prevede che, in caso di scioglimento, </w:t>
      </w:r>
      <w:r w:rsidRPr="00D83006">
        <w:rPr>
          <w:rFonts w:ascii="Arial" w:hAnsi="Arial" w:cs="Arial"/>
          <w:color w:val="000000"/>
        </w:rPr>
        <w:lastRenderedPageBreak/>
        <w:t xml:space="preserve">il fondo di dotazione sia destinato a soggetti non controllati o partecipati dalla controllante/partecipante. Tali riserve sono utilizzate in caso di liquidazione o di cessione della partecipazione. Nella stessa voce sono rilevati anche gli utili derivanti dall’applicazione del metodo del patrimonio netto. </w:t>
      </w:r>
    </w:p>
    <w:p w:rsidR="00C866C6" w:rsidRPr="00C866C6" w:rsidRDefault="00C866C6" w:rsidP="00D83006">
      <w:pPr>
        <w:widowControl w:val="0"/>
        <w:spacing w:line="360" w:lineRule="auto"/>
        <w:ind w:right="1"/>
        <w:jc w:val="both"/>
        <w:rPr>
          <w:rFonts w:ascii="Arial" w:hAnsi="Arial" w:cs="Arial"/>
          <w:color w:val="000000"/>
        </w:rPr>
      </w:pPr>
      <w:r w:rsidRPr="00C866C6">
        <w:rPr>
          <w:rFonts w:ascii="Arial" w:hAnsi="Arial" w:cs="Arial"/>
          <w:color w:val="000000"/>
        </w:rPr>
        <w:t xml:space="preserve">Al </w:t>
      </w:r>
      <w:r w:rsidRPr="00D32565">
        <w:rPr>
          <w:rFonts w:ascii="Arial" w:hAnsi="Arial" w:cs="Arial"/>
          <w:bCs/>
          <w:color w:val="000000"/>
          <w:u w:val="single"/>
        </w:rPr>
        <w:t>Risultato economico dell'esercizio,</w:t>
      </w:r>
      <w:r w:rsidRPr="00C866C6">
        <w:rPr>
          <w:rFonts w:ascii="Arial" w:hAnsi="Arial" w:cs="Arial"/>
          <w:color w:val="000000"/>
        </w:rPr>
        <w:t xml:space="preserve"> è sempre attribuito un importo pari a 0</w:t>
      </w:r>
      <w:r>
        <w:rPr>
          <w:rFonts w:ascii="Arial" w:hAnsi="Arial" w:cs="Arial"/>
          <w:color w:val="000000"/>
        </w:rPr>
        <w:t>.</w:t>
      </w:r>
    </w:p>
    <w:p w:rsidR="004E56A1" w:rsidRDefault="00E2390B" w:rsidP="004E56A1">
      <w:pPr>
        <w:widowControl w:val="0"/>
        <w:spacing w:line="360" w:lineRule="auto"/>
        <w:ind w:right="1"/>
        <w:jc w:val="both"/>
        <w:rPr>
          <w:rFonts w:ascii="Arial" w:hAnsi="Arial" w:cs="Arial"/>
          <w:color w:val="000000"/>
        </w:rPr>
      </w:pPr>
      <w:r w:rsidRPr="00D32565">
        <w:rPr>
          <w:rFonts w:ascii="Arial" w:hAnsi="Arial" w:cs="Arial"/>
          <w:color w:val="000000"/>
        </w:rPr>
        <w:t>Il valore della voce “Riserve da risultato economico di esercizi precedenti” è calcolato in maniera automatica come differenza tra il totale dell'Attivo e le altre voci del Passivo</w:t>
      </w:r>
      <w:r w:rsidR="007126D9">
        <w:rPr>
          <w:rFonts w:ascii="Arial" w:hAnsi="Arial" w:cs="Arial"/>
          <w:color w:val="000000"/>
        </w:rPr>
        <w:t>.</w:t>
      </w:r>
    </w:p>
    <w:p w:rsidR="005C26BF" w:rsidRDefault="00846A9C" w:rsidP="00D32565">
      <w:pPr>
        <w:widowControl w:val="0"/>
        <w:spacing w:line="360" w:lineRule="auto"/>
        <w:ind w:right="1"/>
        <w:jc w:val="both"/>
        <w:rPr>
          <w:rFonts w:ascii="Arial" w:hAnsi="Arial" w:cs="Arial"/>
          <w:color w:val="000000"/>
        </w:rPr>
      </w:pPr>
      <w:r>
        <w:rPr>
          <w:rFonts w:ascii="Arial" w:hAnsi="Arial" w:cs="Arial"/>
          <w:color w:val="000000"/>
        </w:rPr>
        <w:t>Il valore attribuito alla voce riserva da permessi di costruire è pari all’importo della voce “Riserva da permessi di costruire” dell’ultimo stato patrimoniale approvato, al netto delle risorse utilizzate per la realizzazione di opere di urbanizzazione aventi natura di beni demaniali e patrimoniali indisponibili, cui abbiamo sommato</w:t>
      </w:r>
      <w:r w:rsidRPr="00D32565">
        <w:rPr>
          <w:rFonts w:ascii="Arial" w:hAnsi="Arial" w:cs="Arial"/>
          <w:color w:val="000000"/>
        </w:rPr>
        <w:t xml:space="preserve"> </w:t>
      </w:r>
      <w:r w:rsidR="00F5408D" w:rsidRPr="00D32565">
        <w:rPr>
          <w:rFonts w:ascii="Arial" w:hAnsi="Arial" w:cs="Arial"/>
          <w:color w:val="000000"/>
        </w:rPr>
        <w:t>l’importo delle entrate accertate nell’esercizio di riferimento alla voce del modulo finanziario del piano dei conti integrato E.4.05.01.01.001 “permessi da costruire” non destinate alla copertura delle spese correnti e non utilizzate per la realizzazione di opere di urbanizzazione aventi natura di beni demaniali e patrimoniali indisponibili</w:t>
      </w:r>
      <w:r w:rsidRPr="00846A9C">
        <w:rPr>
          <w:rFonts w:ascii="Arial" w:hAnsi="Arial" w:cs="Arial"/>
          <w:color w:val="000000"/>
        </w:rPr>
        <w:t xml:space="preserve">. </w:t>
      </w:r>
      <w:r>
        <w:rPr>
          <w:rFonts w:ascii="Arial" w:hAnsi="Arial" w:cs="Arial"/>
          <w:color w:val="000000"/>
        </w:rPr>
        <w:t xml:space="preserve">Tale valore è stato depurato degli ammortamenti riguardanti i beni finanziati dai permessi di costruire diversi dalle opere di urbanizzazione demaniale e del patrimonio indisponibile. </w:t>
      </w:r>
    </w:p>
    <w:p w:rsidR="00846A9C" w:rsidRDefault="00846A9C" w:rsidP="00D32565">
      <w:pPr>
        <w:widowControl w:val="0"/>
        <w:spacing w:line="360" w:lineRule="auto"/>
        <w:ind w:right="1"/>
        <w:jc w:val="both"/>
        <w:rPr>
          <w:rFonts w:ascii="Arial" w:hAnsi="Arial" w:cs="Arial"/>
          <w:color w:val="000000"/>
        </w:rPr>
      </w:pPr>
    </w:p>
    <w:p w:rsidR="00731F57" w:rsidRDefault="00DF75E9" w:rsidP="00ED0AE6">
      <w:pPr>
        <w:pStyle w:val="TITOLO40"/>
      </w:pPr>
      <w:bookmarkStart w:id="20" w:name="_Toc32933020"/>
      <w:r>
        <w:t>Fondi per rischi e oneri</w:t>
      </w:r>
      <w:bookmarkEnd w:id="20"/>
    </w:p>
    <w:p w:rsidR="002867E5" w:rsidRPr="00F2645B" w:rsidRDefault="002867E5" w:rsidP="002867E5">
      <w:pPr>
        <w:widowControl w:val="0"/>
        <w:spacing w:line="360" w:lineRule="auto"/>
        <w:ind w:right="1"/>
        <w:jc w:val="both"/>
        <w:rPr>
          <w:rFonts w:ascii="Arial" w:hAnsi="Arial" w:cs="Arial"/>
          <w:color w:val="000000"/>
        </w:rPr>
      </w:pPr>
      <w:r w:rsidRPr="00F2645B">
        <w:rPr>
          <w:rFonts w:ascii="Arial" w:hAnsi="Arial" w:cs="Arial"/>
          <w:color w:val="000000"/>
        </w:rPr>
        <w:t>Sono stanziati per coprire perdite o debiti di esistenza certa o probabile, dei quali tuttavia alla chiusura dell'esercizio non erano determinabili l'ammontare o la data di sopravvenienza.</w:t>
      </w:r>
    </w:p>
    <w:p w:rsidR="00E41D18" w:rsidRDefault="00E41D18" w:rsidP="002867E5">
      <w:pPr>
        <w:widowControl w:val="0"/>
        <w:spacing w:line="360" w:lineRule="auto"/>
        <w:ind w:right="1"/>
        <w:jc w:val="both"/>
        <w:rPr>
          <w:rFonts w:ascii="Arial" w:hAnsi="Arial" w:cs="Arial"/>
          <w:color w:val="000000"/>
        </w:rPr>
      </w:pPr>
      <w:r w:rsidRPr="00125398">
        <w:rPr>
          <w:rFonts w:ascii="Arial" w:hAnsi="Arial" w:cs="Arial"/>
          <w:color w:val="000000"/>
        </w:rPr>
        <w:t>Le voci della Situazione patrimoniale riguardanti i Fondi per rischi ed oneri sono iscritte per un importo pari alle quote accantonate nel risultato di amministrazione 20</w:t>
      </w:r>
      <w:r w:rsidR="00A440CB">
        <w:rPr>
          <w:rFonts w:ascii="Arial" w:hAnsi="Arial" w:cs="Arial"/>
          <w:color w:val="000000"/>
        </w:rPr>
        <w:t>2</w:t>
      </w:r>
      <w:r w:rsidR="009F2384">
        <w:rPr>
          <w:rFonts w:ascii="Arial" w:hAnsi="Arial" w:cs="Arial"/>
          <w:color w:val="000000"/>
        </w:rPr>
        <w:t>1</w:t>
      </w:r>
      <w:r w:rsidRPr="00125398">
        <w:rPr>
          <w:rFonts w:ascii="Arial" w:hAnsi="Arial" w:cs="Arial"/>
          <w:color w:val="000000"/>
        </w:rPr>
        <w:t>, salvo il FCDE il cui valore non è inserito nella Situazione patrimoniale ma solo nel piano dei conti patrimoniale incrementato dell’importo degli eventuali residui attivi stralciati dal conto del bilancio.</w:t>
      </w:r>
      <w:r>
        <w:rPr>
          <w:rFonts w:ascii="Arial" w:hAnsi="Arial" w:cs="Arial"/>
          <w:color w:val="000000"/>
        </w:rPr>
        <w:t xml:space="preserve"> </w:t>
      </w:r>
    </w:p>
    <w:p w:rsidR="002867E5" w:rsidRPr="00F2645B" w:rsidRDefault="002867E5" w:rsidP="002867E5">
      <w:pPr>
        <w:widowControl w:val="0"/>
        <w:spacing w:line="360" w:lineRule="auto"/>
        <w:ind w:right="1"/>
        <w:jc w:val="both"/>
        <w:rPr>
          <w:rFonts w:ascii="Arial" w:hAnsi="Arial" w:cs="Arial"/>
          <w:color w:val="000000"/>
        </w:rPr>
      </w:pPr>
      <w:r w:rsidRPr="00F2645B">
        <w:rPr>
          <w:rFonts w:ascii="Arial" w:hAnsi="Arial" w:cs="Arial"/>
          <w:color w:val="000000"/>
        </w:rPr>
        <w:t>Nella valutazione di tali fondi sono stati rispettati i criteri generali di prudenza e competenza e non si è proceduto alla costituzione di fondi rischi generici privi di giustificazione economica.</w:t>
      </w:r>
    </w:p>
    <w:p w:rsidR="002867E5" w:rsidRPr="00F2645B" w:rsidRDefault="002867E5" w:rsidP="002867E5">
      <w:pPr>
        <w:widowControl w:val="0"/>
        <w:spacing w:line="360" w:lineRule="auto"/>
        <w:ind w:right="1"/>
        <w:jc w:val="both"/>
        <w:rPr>
          <w:rFonts w:ascii="Arial" w:hAnsi="Arial" w:cs="Arial"/>
          <w:color w:val="000000"/>
        </w:rPr>
      </w:pPr>
      <w:r w:rsidRPr="00F2645B">
        <w:rPr>
          <w:rFonts w:ascii="Arial" w:hAnsi="Arial" w:cs="Arial"/>
          <w:color w:val="000000"/>
        </w:rPr>
        <w:t>Le passività potenziali sono state rilevate in bilancio e iscritte nei fondi in quanto ritenute probabili ed essendo stimabile con ragionevolezza l'ammontare del relativo onere.</w:t>
      </w:r>
    </w:p>
    <w:p w:rsidR="00D80AC0" w:rsidRPr="00F2645B" w:rsidRDefault="004430B5" w:rsidP="00ED0AE6">
      <w:pPr>
        <w:pStyle w:val="TITOLO40"/>
      </w:pPr>
      <w:bookmarkStart w:id="21" w:name="_Toc32933021"/>
      <w:r>
        <w:br/>
      </w:r>
      <w:r w:rsidR="00D80AC0" w:rsidRPr="00F2645B">
        <w:t>Debiti</w:t>
      </w:r>
      <w:bookmarkEnd w:id="21"/>
    </w:p>
    <w:p w:rsidR="004C34D2" w:rsidRDefault="00D121EF" w:rsidP="009F2FB0">
      <w:pPr>
        <w:spacing w:line="360" w:lineRule="auto"/>
        <w:jc w:val="both"/>
        <w:rPr>
          <w:rFonts w:ascii="Arial" w:hAnsi="Arial" w:cs="Arial"/>
          <w:color w:val="000000"/>
        </w:rPr>
      </w:pPr>
      <w:r w:rsidRPr="00F2645B">
        <w:rPr>
          <w:rFonts w:ascii="Arial" w:hAnsi="Arial" w:cs="Arial"/>
          <w:color w:val="000000"/>
        </w:rPr>
        <w:t>I debiti sono valutati al loro valore nominale</w:t>
      </w:r>
      <w:r w:rsidR="00AD7000">
        <w:rPr>
          <w:rFonts w:ascii="Arial" w:hAnsi="Arial" w:cs="Arial"/>
          <w:color w:val="000000"/>
        </w:rPr>
        <w:t>.</w:t>
      </w:r>
    </w:p>
    <w:p w:rsidR="009F2FB0" w:rsidRPr="0036719D" w:rsidRDefault="009F2FB0" w:rsidP="009F2FB0">
      <w:pPr>
        <w:spacing w:line="360" w:lineRule="auto"/>
        <w:jc w:val="both"/>
        <w:rPr>
          <w:rFonts w:ascii="Arial" w:hAnsi="Arial" w:cs="Arial"/>
        </w:rPr>
      </w:pPr>
      <w:r w:rsidRPr="009F2FB0">
        <w:rPr>
          <w:rFonts w:ascii="Arial" w:hAnsi="Arial" w:cs="Arial"/>
          <w:color w:val="000000"/>
        </w:rPr>
        <w:t xml:space="preserve">I debiti da finanziamento dell’Ente sono </w:t>
      </w:r>
      <w:r w:rsidRPr="0036719D">
        <w:rPr>
          <w:rFonts w:ascii="Arial" w:hAnsi="Arial" w:cs="Arial"/>
          <w:color w:val="000000"/>
        </w:rPr>
        <w:t>determinati dalla somma algebrica del debito all’inizio dell’esercizio più gli accertamenti sulle accensioni di prestiti effettuati nell’esercizio meno i pagamenti</w:t>
      </w:r>
      <w:r w:rsidRPr="0036719D">
        <w:rPr>
          <w:rFonts w:ascii="Arial" w:hAnsi="Arial" w:cs="Arial"/>
        </w:rPr>
        <w:t xml:space="preserve"> per rimborso di prestiti.</w:t>
      </w:r>
    </w:p>
    <w:p w:rsidR="007218F9" w:rsidRDefault="007218F9" w:rsidP="00D121EF">
      <w:pPr>
        <w:spacing w:line="360" w:lineRule="auto"/>
        <w:jc w:val="both"/>
        <w:rPr>
          <w:rFonts w:ascii="Arial" w:hAnsi="Arial" w:cs="Arial"/>
          <w:color w:val="000000"/>
        </w:rPr>
      </w:pPr>
      <w:r w:rsidRPr="007218F9">
        <w:rPr>
          <w:rFonts w:ascii="Arial" w:hAnsi="Arial" w:cs="Arial"/>
          <w:color w:val="000000"/>
        </w:rPr>
        <w:t xml:space="preserve">I debiti </w:t>
      </w:r>
      <w:r w:rsidR="003B7AF0">
        <w:rPr>
          <w:rFonts w:ascii="Arial" w:hAnsi="Arial" w:cs="Arial"/>
          <w:color w:val="000000"/>
        </w:rPr>
        <w:t xml:space="preserve">di </w:t>
      </w:r>
      <w:r w:rsidRPr="007218F9">
        <w:rPr>
          <w:rFonts w:ascii="Arial" w:hAnsi="Arial" w:cs="Arial"/>
          <w:color w:val="000000"/>
        </w:rPr>
        <w:t>funzionamento verso fornitori sono iscritti nello stato patrimoniale solo se corrispondenti a obbligazioni giuridiche perfezionate esigibili per le quali il servizio è stato reso o è avvenuto lo scambio dei beni. La corretta applicazione del principio della competenza finanziaria garantisce la corrispon</w:t>
      </w:r>
      <w:r w:rsidR="00432D51">
        <w:rPr>
          <w:rFonts w:ascii="Arial" w:hAnsi="Arial" w:cs="Arial"/>
          <w:color w:val="000000"/>
        </w:rPr>
        <w:t xml:space="preserve">denza con i residui passivi di </w:t>
      </w:r>
      <w:r w:rsidRPr="007218F9">
        <w:rPr>
          <w:rFonts w:ascii="Arial" w:hAnsi="Arial" w:cs="Arial"/>
          <w:color w:val="000000"/>
        </w:rPr>
        <w:t>eguale natura.</w:t>
      </w:r>
    </w:p>
    <w:p w:rsidR="007C753F" w:rsidRDefault="007C753F" w:rsidP="00D121EF">
      <w:pPr>
        <w:spacing w:line="360" w:lineRule="auto"/>
        <w:jc w:val="both"/>
        <w:rPr>
          <w:rFonts w:ascii="Arial" w:hAnsi="Arial" w:cs="Arial"/>
          <w:color w:val="000000"/>
          <w:highlight w:val="yellow"/>
        </w:rPr>
      </w:pPr>
    </w:p>
    <w:p w:rsidR="00E90E38" w:rsidRPr="009D7904" w:rsidRDefault="00E90E38" w:rsidP="00E90E38">
      <w:pPr>
        <w:spacing w:line="360" w:lineRule="auto"/>
        <w:jc w:val="both"/>
        <w:rPr>
          <w:rFonts w:ascii="Arial" w:hAnsi="Arial" w:cs="Arial"/>
          <w:color w:val="000000"/>
        </w:rPr>
      </w:pPr>
      <w:r w:rsidRPr="009D7904">
        <w:rPr>
          <w:rFonts w:ascii="Arial" w:hAnsi="Arial" w:cs="Arial"/>
          <w:color w:val="000000"/>
        </w:rPr>
        <w:lastRenderedPageBreak/>
        <w:t xml:space="preserve">Si riporta di seguito la conciliazione fra i </w:t>
      </w:r>
      <w:r>
        <w:rPr>
          <w:rFonts w:ascii="Arial" w:hAnsi="Arial" w:cs="Arial"/>
          <w:color w:val="000000"/>
        </w:rPr>
        <w:t>debiti</w:t>
      </w:r>
      <w:r w:rsidRPr="009D7904">
        <w:rPr>
          <w:rFonts w:ascii="Arial" w:hAnsi="Arial" w:cs="Arial"/>
          <w:color w:val="000000"/>
        </w:rPr>
        <w:t xml:space="preserve"> della contabilità economico-patrimoniale e i residui </w:t>
      </w:r>
      <w:r>
        <w:rPr>
          <w:rFonts w:ascii="Arial" w:hAnsi="Arial" w:cs="Arial"/>
          <w:color w:val="000000"/>
        </w:rPr>
        <w:t>passivi</w:t>
      </w:r>
      <w:r w:rsidRPr="009D7904">
        <w:rPr>
          <w:rFonts w:ascii="Arial" w:hAnsi="Arial" w:cs="Arial"/>
          <w:color w:val="000000"/>
        </w:rPr>
        <w:t xml:space="preserve"> della contabilità finanziaria.</w:t>
      </w:r>
    </w:p>
    <w:p w:rsidR="00E90E38" w:rsidRDefault="00BD451E" w:rsidP="00BD451E">
      <w:pPr>
        <w:widowControl w:val="0"/>
        <w:tabs>
          <w:tab w:val="left" w:pos="825"/>
        </w:tabs>
        <w:ind w:right="1"/>
        <w:jc w:val="both"/>
        <w:rPr>
          <w:rFonts w:ascii="Arial" w:hAnsi="Arial" w:cs="Arial"/>
          <w:b/>
          <w:bCs/>
          <w:color w:val="000000"/>
        </w:rPr>
      </w:pPr>
      <w:r>
        <w:rPr>
          <w:rFonts w:ascii="Arial" w:hAnsi="Arial" w:cs="Arial"/>
          <w:b/>
          <w:bCs/>
          <w:color w:val="000000"/>
        </w:rPr>
        <w:tab/>
      </w:r>
    </w:p>
    <w:p w:rsidR="00FE46F8" w:rsidRDefault="00D93E92" w:rsidP="00D93E92">
      <w:pPr>
        <w:widowControl w:val="0"/>
        <w:ind w:right="1"/>
        <w:jc w:val="center"/>
        <w:rPr>
          <w:rFonts w:ascii="Arial" w:hAnsi="Arial" w:cs="Arial"/>
          <w:b/>
          <w:bCs/>
          <w:color w:val="000000"/>
        </w:rPr>
      </w:pPr>
      <w:r w:rsidRPr="00D93E92">
        <w:rPr>
          <w:noProof/>
        </w:rPr>
        <w:drawing>
          <wp:inline distT="0" distB="0" distL="0" distR="0">
            <wp:extent cx="5600700" cy="1933575"/>
            <wp:effectExtent l="1905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5600700" cy="1933575"/>
                    </a:xfrm>
                    <a:prstGeom prst="rect">
                      <a:avLst/>
                    </a:prstGeom>
                    <a:noFill/>
                    <a:ln w="9525">
                      <a:noFill/>
                      <a:miter lim="800000"/>
                      <a:headEnd/>
                      <a:tailEnd/>
                    </a:ln>
                  </pic:spPr>
                </pic:pic>
              </a:graphicData>
            </a:graphic>
          </wp:inline>
        </w:drawing>
      </w:r>
    </w:p>
    <w:p w:rsidR="00FE46F8" w:rsidRDefault="00FE46F8" w:rsidP="00E90E38">
      <w:pPr>
        <w:widowControl w:val="0"/>
        <w:ind w:right="1"/>
        <w:jc w:val="both"/>
        <w:rPr>
          <w:rFonts w:ascii="Arial" w:hAnsi="Arial" w:cs="Arial"/>
          <w:b/>
          <w:bCs/>
          <w:color w:val="000000"/>
        </w:rPr>
      </w:pPr>
    </w:p>
    <w:p w:rsidR="00E90E38" w:rsidRDefault="00E90E38" w:rsidP="00E90E38">
      <w:pPr>
        <w:widowControl w:val="0"/>
        <w:ind w:right="1"/>
        <w:jc w:val="both"/>
        <w:rPr>
          <w:rFonts w:ascii="Arial" w:hAnsi="Arial" w:cs="Arial"/>
          <w:b/>
          <w:bCs/>
          <w:color w:val="000000"/>
        </w:rPr>
      </w:pPr>
    </w:p>
    <w:p w:rsidR="00E90E38" w:rsidRDefault="00E90E38" w:rsidP="00E90E38">
      <w:pPr>
        <w:widowControl w:val="0"/>
        <w:ind w:right="1"/>
        <w:jc w:val="both"/>
        <w:rPr>
          <w:rFonts w:ascii="Arial" w:hAnsi="Arial" w:cs="Arial"/>
          <w:b/>
          <w:bCs/>
          <w:color w:val="000000"/>
        </w:rPr>
      </w:pPr>
    </w:p>
    <w:p w:rsidR="00B77370" w:rsidRPr="00D93E92" w:rsidRDefault="00B77370" w:rsidP="00B77370">
      <w:pPr>
        <w:spacing w:line="360" w:lineRule="auto"/>
        <w:jc w:val="both"/>
        <w:rPr>
          <w:rFonts w:ascii="Arial" w:hAnsi="Arial" w:cs="Arial"/>
          <w:color w:val="000000"/>
        </w:rPr>
      </w:pPr>
      <w:r w:rsidRPr="00D93E92">
        <w:rPr>
          <w:rFonts w:ascii="Arial" w:hAnsi="Arial" w:cs="Arial"/>
          <w:color w:val="000000"/>
        </w:rPr>
        <w:t>Si rinvia al prospetto della Situazione patrimoniale semplificata per i dettagli delle singole voci.</w:t>
      </w:r>
    </w:p>
    <w:p w:rsidR="00C1439A" w:rsidRPr="00D93E92" w:rsidRDefault="00C1439A" w:rsidP="00FA467E">
      <w:pPr>
        <w:widowControl w:val="0"/>
        <w:ind w:right="1"/>
        <w:jc w:val="both"/>
        <w:rPr>
          <w:rFonts w:ascii="Arial" w:hAnsi="Arial" w:cs="Arial"/>
          <w:color w:val="000000"/>
        </w:rPr>
      </w:pPr>
    </w:p>
    <w:p w:rsidR="00D93E92" w:rsidRPr="00D93E92" w:rsidRDefault="00D93E92" w:rsidP="00FA467E">
      <w:pPr>
        <w:widowControl w:val="0"/>
        <w:ind w:right="1"/>
        <w:jc w:val="both"/>
        <w:rPr>
          <w:rFonts w:ascii="Arial" w:hAnsi="Arial" w:cs="Arial"/>
          <w:color w:val="000000"/>
        </w:rPr>
      </w:pPr>
    </w:p>
    <w:bookmarkEnd w:id="6"/>
    <w:bookmarkEnd w:id="7"/>
    <w:p w:rsidR="00A05EE7" w:rsidRPr="00D93E92" w:rsidRDefault="001E2F2D" w:rsidP="00D32565">
      <w:pPr>
        <w:widowControl w:val="0"/>
        <w:ind w:right="1"/>
        <w:jc w:val="both"/>
      </w:pPr>
      <w:r w:rsidRPr="00D93E92">
        <w:rPr>
          <w:rFonts w:ascii="Arial" w:hAnsi="Arial" w:cs="Arial"/>
          <w:b/>
          <w:bCs/>
          <w:color w:val="000000"/>
          <w:sz w:val="28"/>
          <w:szCs w:val="28"/>
        </w:rPr>
        <w:t>Conti d’ordine</w:t>
      </w:r>
      <w:r w:rsidR="00C1439A" w:rsidRPr="00D93E92">
        <w:rPr>
          <w:rFonts w:ascii="Arial" w:hAnsi="Arial" w:cs="Arial"/>
          <w:b/>
          <w:bCs/>
          <w:color w:val="000000"/>
          <w:sz w:val="28"/>
          <w:szCs w:val="28"/>
        </w:rPr>
        <w:t xml:space="preserve"> </w:t>
      </w:r>
    </w:p>
    <w:p w:rsidR="00D93E92" w:rsidRPr="00D93E92" w:rsidRDefault="00D93E92" w:rsidP="004250D9">
      <w:pPr>
        <w:jc w:val="both"/>
        <w:rPr>
          <w:rFonts w:ascii="Arial" w:hAnsi="Arial" w:cs="Arial"/>
          <w:color w:val="000000"/>
        </w:rPr>
      </w:pPr>
    </w:p>
    <w:p w:rsidR="00D93E92" w:rsidRPr="00D93E92" w:rsidRDefault="00D93E92" w:rsidP="004250D9">
      <w:pPr>
        <w:jc w:val="both"/>
        <w:rPr>
          <w:rFonts w:ascii="Arial" w:hAnsi="Arial" w:cs="Arial"/>
          <w:color w:val="000000"/>
        </w:rPr>
      </w:pPr>
    </w:p>
    <w:p w:rsidR="00D32565" w:rsidRPr="00D93E92" w:rsidRDefault="00D32565" w:rsidP="004250D9">
      <w:pPr>
        <w:jc w:val="both"/>
        <w:rPr>
          <w:rFonts w:ascii="Arial" w:hAnsi="Arial" w:cs="Arial"/>
          <w:color w:val="000000"/>
        </w:rPr>
      </w:pPr>
      <w:r w:rsidRPr="00D93E92">
        <w:rPr>
          <w:rFonts w:ascii="Arial" w:hAnsi="Arial" w:cs="Arial"/>
          <w:color w:val="000000"/>
        </w:rPr>
        <w:t>L’ente non possiede beni appartenenti al patrimonio mobiliare da presentare all’interno dei conti d’ordine.</w:t>
      </w:r>
    </w:p>
    <w:p w:rsidR="00A05EE7" w:rsidRPr="00D93E92" w:rsidRDefault="00A05EE7" w:rsidP="004250D9">
      <w:pPr>
        <w:jc w:val="both"/>
        <w:rPr>
          <w:rFonts w:ascii="Arial" w:hAnsi="Arial" w:cs="Arial"/>
          <w:color w:val="000000"/>
        </w:rPr>
      </w:pPr>
    </w:p>
    <w:p w:rsidR="00A05EE7" w:rsidRPr="00D93E92" w:rsidRDefault="00A05EE7" w:rsidP="004250D9">
      <w:pPr>
        <w:jc w:val="both"/>
        <w:rPr>
          <w:rFonts w:ascii="Arial" w:hAnsi="Arial" w:cs="Arial"/>
          <w:color w:val="000000"/>
        </w:rPr>
      </w:pPr>
    </w:p>
    <w:p w:rsidR="00A05EE7" w:rsidRPr="00D93E92" w:rsidRDefault="00A05EE7" w:rsidP="004250D9">
      <w:pPr>
        <w:jc w:val="both"/>
        <w:rPr>
          <w:rFonts w:ascii="Arial" w:hAnsi="Arial" w:cs="Arial"/>
          <w:color w:val="000000"/>
        </w:rPr>
      </w:pPr>
    </w:p>
    <w:p w:rsidR="00444A5A" w:rsidRDefault="00D93E92" w:rsidP="004250D9">
      <w:pPr>
        <w:jc w:val="both"/>
        <w:rPr>
          <w:rFonts w:ascii="Arial" w:hAnsi="Arial" w:cs="Arial"/>
          <w:color w:val="000000"/>
        </w:rPr>
      </w:pPr>
      <w:r w:rsidRPr="00D93E92">
        <w:rPr>
          <w:rFonts w:ascii="Arial" w:hAnsi="Arial" w:cs="Arial"/>
          <w:color w:val="000000"/>
        </w:rPr>
        <w:t>VIGNOLA FALESINA</w:t>
      </w:r>
      <w:r w:rsidR="001533ED" w:rsidRPr="00D93E92">
        <w:rPr>
          <w:rFonts w:ascii="Arial" w:hAnsi="Arial" w:cs="Arial"/>
          <w:color w:val="000000"/>
        </w:rPr>
        <w:t xml:space="preserve">, </w:t>
      </w:r>
      <w:r w:rsidRPr="00D93E92">
        <w:rPr>
          <w:rFonts w:ascii="Arial" w:hAnsi="Arial" w:cs="Arial"/>
          <w:color w:val="000000"/>
        </w:rPr>
        <w:t>28/04/</w:t>
      </w:r>
      <w:r w:rsidR="001533ED" w:rsidRPr="00D93E92">
        <w:rPr>
          <w:rFonts w:ascii="Arial" w:hAnsi="Arial" w:cs="Arial"/>
          <w:color w:val="000000"/>
        </w:rPr>
        <w:t>20</w:t>
      </w:r>
      <w:r w:rsidR="004F24AB" w:rsidRPr="00D93E92">
        <w:rPr>
          <w:rFonts w:ascii="Arial" w:hAnsi="Arial" w:cs="Arial"/>
          <w:color w:val="000000"/>
        </w:rPr>
        <w:t>2</w:t>
      </w:r>
      <w:r w:rsidR="009F2384" w:rsidRPr="00D93E92">
        <w:rPr>
          <w:rFonts w:ascii="Arial" w:hAnsi="Arial" w:cs="Arial"/>
          <w:color w:val="000000"/>
        </w:rPr>
        <w:t>2</w:t>
      </w:r>
    </w:p>
    <w:p w:rsidR="004F24AB" w:rsidRPr="00DB2A43" w:rsidRDefault="004F24AB" w:rsidP="004250D9">
      <w:pPr>
        <w:jc w:val="both"/>
        <w:rPr>
          <w:rFonts w:ascii="Arial" w:hAnsi="Arial" w:cs="Arial"/>
          <w:color w:val="000000"/>
        </w:rPr>
      </w:pPr>
    </w:p>
    <w:sectPr w:rsidR="004F24AB" w:rsidRPr="00DB2A43" w:rsidSect="005B4FAB">
      <w:headerReference w:type="default" r:id="rId13"/>
      <w:footerReference w:type="default" r:id="rId14"/>
      <w:pgSz w:w="11908" w:h="16833" w:code="9"/>
      <w:pgMar w:top="1134" w:right="1134" w:bottom="1701" w:left="1134" w:header="709" w:footer="709"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2D8" w:rsidRDefault="001012D8">
      <w:r>
        <w:separator/>
      </w:r>
    </w:p>
  </w:endnote>
  <w:endnote w:type="continuationSeparator" w:id="0">
    <w:p w:rsidR="001012D8" w:rsidRDefault="0010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240" w:rsidRDefault="00DB0240">
    <w:pPr>
      <w:pBdr>
        <w:top w:val="single" w:sz="6" w:space="1" w:color="auto"/>
      </w:pBdr>
      <w:tabs>
        <w:tab w:val="center" w:pos="4820"/>
        <w:tab w:val="right" w:pos="9639"/>
      </w:tabs>
      <w:rPr>
        <w:rStyle w:val="Numeropagina"/>
        <w:rFonts w:ascii="Arial" w:hAnsi="Arial" w:cs="Arial"/>
      </w:rPr>
    </w:pPr>
    <w:r>
      <w:rPr>
        <w:rFonts w:ascii="Arial" w:hAnsi="Arial" w:cs="Arial"/>
      </w:rPr>
      <w:t>Relazione sulla gestione alla Situazione patrimoniale al 31/12/2</w:t>
    </w:r>
    <w:r w:rsidR="009F2384">
      <w:rPr>
        <w:rFonts w:ascii="Arial" w:hAnsi="Arial" w:cs="Arial"/>
      </w:rPr>
      <w:t>021</w:t>
    </w:r>
    <w:r>
      <w:rPr>
        <w:rFonts w:ascii="Arial" w:hAnsi="Arial" w:cs="Arial"/>
      </w:rPr>
      <w:tab/>
      <w:t xml:space="preserve">Pagina </w:t>
    </w:r>
    <w:r w:rsidR="00CD52B9">
      <w:rPr>
        <w:rStyle w:val="Numeropagina"/>
        <w:rFonts w:ascii="Arial" w:hAnsi="Arial" w:cs="Arial"/>
      </w:rPr>
      <w:fldChar w:fldCharType="begin"/>
    </w:r>
    <w:r>
      <w:rPr>
        <w:rStyle w:val="Numeropagina"/>
        <w:rFonts w:ascii="Arial" w:hAnsi="Arial" w:cs="Arial"/>
      </w:rPr>
      <w:instrText xml:space="preserve"> PAGE </w:instrText>
    </w:r>
    <w:r w:rsidR="00CD52B9">
      <w:rPr>
        <w:rStyle w:val="Numeropagina"/>
        <w:rFonts w:ascii="Arial" w:hAnsi="Arial" w:cs="Arial"/>
      </w:rPr>
      <w:fldChar w:fldCharType="separate"/>
    </w:r>
    <w:r w:rsidR="00984310">
      <w:rPr>
        <w:rStyle w:val="Numeropagina"/>
        <w:rFonts w:ascii="Arial" w:hAnsi="Arial" w:cs="Arial"/>
        <w:noProof/>
      </w:rPr>
      <w:t>1</w:t>
    </w:r>
    <w:r w:rsidR="00CD52B9">
      <w:rPr>
        <w:rStyle w:val="Numeropagina"/>
        <w:rFonts w:ascii="Arial" w:hAnsi="Arial" w:cs="Arial"/>
      </w:rPr>
      <w:fldChar w:fldCharType="end"/>
    </w:r>
  </w:p>
  <w:p w:rsidR="00DB0240" w:rsidRDefault="00DB0240">
    <w:pPr>
      <w:pBdr>
        <w:top w:val="single" w:sz="6" w:space="1" w:color="auto"/>
      </w:pBdr>
      <w:tabs>
        <w:tab w:val="center" w:pos="4820"/>
        <w:tab w:val="right" w:pos="9639"/>
      </w:tabs>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2D8" w:rsidRDefault="001012D8">
      <w:r>
        <w:separator/>
      </w:r>
    </w:p>
  </w:footnote>
  <w:footnote w:type="continuationSeparator" w:id="0">
    <w:p w:rsidR="001012D8" w:rsidRDefault="00101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240" w:rsidRDefault="00D93E92" w:rsidP="006B32BB">
    <w:pPr>
      <w:pBdr>
        <w:bottom w:val="single" w:sz="4" w:space="1" w:color="auto"/>
      </w:pBdr>
      <w:jc w:val="right"/>
      <w:rPr>
        <w:rFonts w:ascii="Arial" w:hAnsi="Arial" w:cs="Arial"/>
        <w:i/>
        <w:iCs/>
        <w:highlight w:val="yellow"/>
      </w:rPr>
    </w:pPr>
    <w:r>
      <w:rPr>
        <w:rFonts w:ascii="Arial" w:hAnsi="Arial" w:cs="Arial"/>
        <w:i/>
        <w:iCs/>
      </w:rPr>
      <w:t>COMUNE DI VIGNOLA FALESINA</w:t>
    </w:r>
  </w:p>
  <w:p w:rsidR="00DB0240" w:rsidRDefault="00DB0240" w:rsidP="006B32BB">
    <w:pPr>
      <w:spacing w:line="360" w:lineRule="auto"/>
      <w:jc w:val="right"/>
      <w:rPr>
        <w:rFonts w:ascii="Arial" w:hAnsi="Arial" w:cs="Arial"/>
        <w:i/>
        <w:iCs/>
        <w:color w:val="FF0000"/>
      </w:rPr>
    </w:pPr>
  </w:p>
  <w:p w:rsidR="00DB0240" w:rsidRDefault="00DB0240" w:rsidP="006B32BB">
    <w:pPr>
      <w:spacing w:line="360" w:lineRule="auto"/>
      <w:jc w:val="right"/>
      <w:rPr>
        <w:rFonts w:ascii="Arial" w:hAnsi="Arial" w:cs="Arial"/>
        <w:i/>
        <w:iCs/>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7883A76"/>
    <w:lvl w:ilvl="0">
      <w:numFmt w:val="bullet"/>
      <w:lvlText w:val="*"/>
      <w:lvlJc w:val="left"/>
    </w:lvl>
  </w:abstractNum>
  <w:abstractNum w:abstractNumId="1">
    <w:nsid w:val="035A53B3"/>
    <w:multiLevelType w:val="multilevel"/>
    <w:tmpl w:val="9ADE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47C65"/>
    <w:multiLevelType w:val="multilevel"/>
    <w:tmpl w:val="5602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823FC"/>
    <w:multiLevelType w:val="hybridMultilevel"/>
    <w:tmpl w:val="528C5A02"/>
    <w:lvl w:ilvl="0" w:tplc="A71C56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EA07ED"/>
    <w:multiLevelType w:val="multilevel"/>
    <w:tmpl w:val="08B0A470"/>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ascii="Times New Roman" w:hAnsi="Times New Roman"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15514FE"/>
    <w:multiLevelType w:val="multilevel"/>
    <w:tmpl w:val="254C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4B7563"/>
    <w:multiLevelType w:val="hybridMultilevel"/>
    <w:tmpl w:val="2E700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E63D6A"/>
    <w:multiLevelType w:val="hybridMultilevel"/>
    <w:tmpl w:val="51FCBDE4"/>
    <w:lvl w:ilvl="0" w:tplc="04100001">
      <w:start w:val="1"/>
      <w:numFmt w:val="bullet"/>
      <w:lvlText w:val=""/>
      <w:lvlJc w:val="left"/>
      <w:pPr>
        <w:ind w:left="838" w:hanging="360"/>
      </w:pPr>
      <w:rPr>
        <w:rFonts w:ascii="Symbol" w:hAnsi="Symbol" w:hint="default"/>
      </w:rPr>
    </w:lvl>
    <w:lvl w:ilvl="1" w:tplc="04100003" w:tentative="1">
      <w:start w:val="1"/>
      <w:numFmt w:val="bullet"/>
      <w:lvlText w:val="o"/>
      <w:lvlJc w:val="left"/>
      <w:pPr>
        <w:ind w:left="1558" w:hanging="360"/>
      </w:pPr>
      <w:rPr>
        <w:rFonts w:ascii="Courier New" w:hAnsi="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8">
    <w:nsid w:val="1C1F125B"/>
    <w:multiLevelType w:val="hybridMultilevel"/>
    <w:tmpl w:val="A8B6BB54"/>
    <w:lvl w:ilvl="0" w:tplc="387E96D2">
      <w:start w:val="1"/>
      <w:numFmt w:val="bullet"/>
      <w:lvlText w:val="•"/>
      <w:lvlJc w:val="left"/>
      <w:pPr>
        <w:tabs>
          <w:tab w:val="num" w:pos="720"/>
        </w:tabs>
        <w:ind w:left="720" w:hanging="360"/>
      </w:pPr>
      <w:rPr>
        <w:rFonts w:ascii="Arial" w:hAnsi="Arial" w:hint="default"/>
      </w:rPr>
    </w:lvl>
    <w:lvl w:ilvl="1" w:tplc="99E8C420" w:tentative="1">
      <w:start w:val="1"/>
      <w:numFmt w:val="bullet"/>
      <w:lvlText w:val="•"/>
      <w:lvlJc w:val="left"/>
      <w:pPr>
        <w:tabs>
          <w:tab w:val="num" w:pos="1440"/>
        </w:tabs>
        <w:ind w:left="1440" w:hanging="360"/>
      </w:pPr>
      <w:rPr>
        <w:rFonts w:ascii="Arial" w:hAnsi="Arial" w:hint="default"/>
      </w:rPr>
    </w:lvl>
    <w:lvl w:ilvl="2" w:tplc="8FCAA95A" w:tentative="1">
      <w:start w:val="1"/>
      <w:numFmt w:val="bullet"/>
      <w:lvlText w:val="•"/>
      <w:lvlJc w:val="left"/>
      <w:pPr>
        <w:tabs>
          <w:tab w:val="num" w:pos="2160"/>
        </w:tabs>
        <w:ind w:left="2160" w:hanging="360"/>
      </w:pPr>
      <w:rPr>
        <w:rFonts w:ascii="Arial" w:hAnsi="Arial" w:hint="default"/>
      </w:rPr>
    </w:lvl>
    <w:lvl w:ilvl="3" w:tplc="8BFCB222" w:tentative="1">
      <w:start w:val="1"/>
      <w:numFmt w:val="bullet"/>
      <w:lvlText w:val="•"/>
      <w:lvlJc w:val="left"/>
      <w:pPr>
        <w:tabs>
          <w:tab w:val="num" w:pos="2880"/>
        </w:tabs>
        <w:ind w:left="2880" w:hanging="360"/>
      </w:pPr>
      <w:rPr>
        <w:rFonts w:ascii="Arial" w:hAnsi="Arial" w:hint="default"/>
      </w:rPr>
    </w:lvl>
    <w:lvl w:ilvl="4" w:tplc="70B08BD0" w:tentative="1">
      <w:start w:val="1"/>
      <w:numFmt w:val="bullet"/>
      <w:lvlText w:val="•"/>
      <w:lvlJc w:val="left"/>
      <w:pPr>
        <w:tabs>
          <w:tab w:val="num" w:pos="3600"/>
        </w:tabs>
        <w:ind w:left="3600" w:hanging="360"/>
      </w:pPr>
      <w:rPr>
        <w:rFonts w:ascii="Arial" w:hAnsi="Arial" w:hint="default"/>
      </w:rPr>
    </w:lvl>
    <w:lvl w:ilvl="5" w:tplc="2B7C9F1E" w:tentative="1">
      <w:start w:val="1"/>
      <w:numFmt w:val="bullet"/>
      <w:lvlText w:val="•"/>
      <w:lvlJc w:val="left"/>
      <w:pPr>
        <w:tabs>
          <w:tab w:val="num" w:pos="4320"/>
        </w:tabs>
        <w:ind w:left="4320" w:hanging="360"/>
      </w:pPr>
      <w:rPr>
        <w:rFonts w:ascii="Arial" w:hAnsi="Arial" w:hint="default"/>
      </w:rPr>
    </w:lvl>
    <w:lvl w:ilvl="6" w:tplc="DCCE71DA" w:tentative="1">
      <w:start w:val="1"/>
      <w:numFmt w:val="bullet"/>
      <w:lvlText w:val="•"/>
      <w:lvlJc w:val="left"/>
      <w:pPr>
        <w:tabs>
          <w:tab w:val="num" w:pos="5040"/>
        </w:tabs>
        <w:ind w:left="5040" w:hanging="360"/>
      </w:pPr>
      <w:rPr>
        <w:rFonts w:ascii="Arial" w:hAnsi="Arial" w:hint="default"/>
      </w:rPr>
    </w:lvl>
    <w:lvl w:ilvl="7" w:tplc="3F3EB884" w:tentative="1">
      <w:start w:val="1"/>
      <w:numFmt w:val="bullet"/>
      <w:lvlText w:val="•"/>
      <w:lvlJc w:val="left"/>
      <w:pPr>
        <w:tabs>
          <w:tab w:val="num" w:pos="5760"/>
        </w:tabs>
        <w:ind w:left="5760" w:hanging="360"/>
      </w:pPr>
      <w:rPr>
        <w:rFonts w:ascii="Arial" w:hAnsi="Arial" w:hint="default"/>
      </w:rPr>
    </w:lvl>
    <w:lvl w:ilvl="8" w:tplc="1C4E2508" w:tentative="1">
      <w:start w:val="1"/>
      <w:numFmt w:val="bullet"/>
      <w:lvlText w:val="•"/>
      <w:lvlJc w:val="left"/>
      <w:pPr>
        <w:tabs>
          <w:tab w:val="num" w:pos="6480"/>
        </w:tabs>
        <w:ind w:left="6480" w:hanging="360"/>
      </w:pPr>
      <w:rPr>
        <w:rFonts w:ascii="Arial" w:hAnsi="Arial" w:hint="default"/>
      </w:rPr>
    </w:lvl>
  </w:abstractNum>
  <w:abstractNum w:abstractNumId="9">
    <w:nsid w:val="207975FA"/>
    <w:multiLevelType w:val="singleLevel"/>
    <w:tmpl w:val="10C0069C"/>
    <w:lvl w:ilvl="0">
      <w:start w:val="1"/>
      <w:numFmt w:val="bullet"/>
      <w:lvlText w:val=""/>
      <w:lvlJc w:val="left"/>
      <w:pPr>
        <w:tabs>
          <w:tab w:val="num" w:pos="360"/>
        </w:tabs>
        <w:ind w:left="360" w:hanging="360"/>
      </w:pPr>
      <w:rPr>
        <w:rFonts w:ascii="Symbol" w:hAnsi="Symbol" w:cs="Symbol" w:hint="default"/>
        <w:color w:val="auto"/>
      </w:rPr>
    </w:lvl>
  </w:abstractNum>
  <w:abstractNum w:abstractNumId="10">
    <w:nsid w:val="2CF32916"/>
    <w:multiLevelType w:val="hybridMultilevel"/>
    <w:tmpl w:val="C1D49446"/>
    <w:lvl w:ilvl="0" w:tplc="A6C0C25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2DD57825"/>
    <w:multiLevelType w:val="hybridMultilevel"/>
    <w:tmpl w:val="D4AC7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E301C83"/>
    <w:multiLevelType w:val="multilevel"/>
    <w:tmpl w:val="05783AEE"/>
    <w:lvl w:ilvl="0">
      <w:start w:val="1"/>
      <w:numFmt w:val="bullet"/>
      <w:lvlText w:val=""/>
      <w:lvlJc w:val="left"/>
      <w:pPr>
        <w:tabs>
          <w:tab w:val="num" w:pos="2420"/>
        </w:tabs>
        <w:ind w:left="2420" w:hanging="360"/>
      </w:pPr>
      <w:rPr>
        <w:rFonts w:ascii="Symbol" w:hAnsi="Symbol" w:cs="Symbol" w:hint="default"/>
      </w:rPr>
    </w:lvl>
    <w:lvl w:ilvl="1">
      <w:start w:val="1"/>
      <w:numFmt w:val="bullet"/>
      <w:lvlText w:val="o"/>
      <w:lvlJc w:val="left"/>
      <w:pPr>
        <w:tabs>
          <w:tab w:val="num" w:pos="3140"/>
        </w:tabs>
        <w:ind w:left="3140" w:hanging="360"/>
      </w:pPr>
      <w:rPr>
        <w:rFonts w:ascii="Courier New" w:hAnsi="Courier New" w:cs="Courier New" w:hint="default"/>
      </w:rPr>
    </w:lvl>
    <w:lvl w:ilvl="2">
      <w:start w:val="1"/>
      <w:numFmt w:val="bullet"/>
      <w:lvlText w:val=""/>
      <w:lvlJc w:val="left"/>
      <w:pPr>
        <w:tabs>
          <w:tab w:val="num" w:pos="3860"/>
        </w:tabs>
        <w:ind w:left="3860" w:hanging="360"/>
      </w:pPr>
      <w:rPr>
        <w:rFonts w:ascii="Wingdings" w:hAnsi="Wingdings" w:cs="Wingdings" w:hint="default"/>
      </w:rPr>
    </w:lvl>
    <w:lvl w:ilvl="3">
      <w:start w:val="1"/>
      <w:numFmt w:val="bullet"/>
      <w:lvlText w:val=""/>
      <w:lvlJc w:val="left"/>
      <w:pPr>
        <w:tabs>
          <w:tab w:val="num" w:pos="4580"/>
        </w:tabs>
        <w:ind w:left="4580" w:hanging="360"/>
      </w:pPr>
      <w:rPr>
        <w:rFonts w:ascii="Symbol" w:hAnsi="Symbol" w:cs="Symbol" w:hint="default"/>
      </w:rPr>
    </w:lvl>
    <w:lvl w:ilvl="4">
      <w:start w:val="1"/>
      <w:numFmt w:val="bullet"/>
      <w:lvlText w:val="o"/>
      <w:lvlJc w:val="left"/>
      <w:pPr>
        <w:tabs>
          <w:tab w:val="num" w:pos="5300"/>
        </w:tabs>
        <w:ind w:left="5300" w:hanging="360"/>
      </w:pPr>
      <w:rPr>
        <w:rFonts w:ascii="Courier New" w:hAnsi="Courier New" w:cs="Courier New" w:hint="default"/>
      </w:rPr>
    </w:lvl>
    <w:lvl w:ilvl="5">
      <w:start w:val="1"/>
      <w:numFmt w:val="bullet"/>
      <w:lvlText w:val=""/>
      <w:lvlJc w:val="left"/>
      <w:pPr>
        <w:tabs>
          <w:tab w:val="num" w:pos="6020"/>
        </w:tabs>
        <w:ind w:left="6020" w:hanging="360"/>
      </w:pPr>
      <w:rPr>
        <w:rFonts w:ascii="Wingdings" w:hAnsi="Wingdings" w:cs="Wingdings" w:hint="default"/>
      </w:rPr>
    </w:lvl>
    <w:lvl w:ilvl="6">
      <w:start w:val="1"/>
      <w:numFmt w:val="bullet"/>
      <w:lvlText w:val=""/>
      <w:lvlJc w:val="left"/>
      <w:pPr>
        <w:tabs>
          <w:tab w:val="num" w:pos="6740"/>
        </w:tabs>
        <w:ind w:left="6740" w:hanging="360"/>
      </w:pPr>
      <w:rPr>
        <w:rFonts w:ascii="Symbol" w:hAnsi="Symbol" w:cs="Symbol" w:hint="default"/>
      </w:rPr>
    </w:lvl>
    <w:lvl w:ilvl="7">
      <w:start w:val="1"/>
      <w:numFmt w:val="bullet"/>
      <w:lvlText w:val="o"/>
      <w:lvlJc w:val="left"/>
      <w:pPr>
        <w:tabs>
          <w:tab w:val="num" w:pos="7460"/>
        </w:tabs>
        <w:ind w:left="7460" w:hanging="360"/>
      </w:pPr>
      <w:rPr>
        <w:rFonts w:ascii="Courier New" w:hAnsi="Courier New" w:cs="Courier New" w:hint="default"/>
      </w:rPr>
    </w:lvl>
    <w:lvl w:ilvl="8">
      <w:start w:val="1"/>
      <w:numFmt w:val="bullet"/>
      <w:lvlText w:val=""/>
      <w:lvlJc w:val="left"/>
      <w:pPr>
        <w:tabs>
          <w:tab w:val="num" w:pos="8180"/>
        </w:tabs>
        <w:ind w:left="8180" w:hanging="360"/>
      </w:pPr>
      <w:rPr>
        <w:rFonts w:ascii="Wingdings" w:hAnsi="Wingdings" w:cs="Wingdings" w:hint="default"/>
      </w:rPr>
    </w:lvl>
  </w:abstractNum>
  <w:abstractNum w:abstractNumId="13">
    <w:nsid w:val="33D24E15"/>
    <w:multiLevelType w:val="hybridMultilevel"/>
    <w:tmpl w:val="A4524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8E85C3C"/>
    <w:multiLevelType w:val="hybridMultilevel"/>
    <w:tmpl w:val="64E4F4E0"/>
    <w:lvl w:ilvl="0" w:tplc="8618E4BC">
      <w:numFmt w:val="bullet"/>
      <w:lvlText w:val="-"/>
      <w:lvlJc w:val="left"/>
      <w:pPr>
        <w:tabs>
          <w:tab w:val="num" w:pos="720"/>
        </w:tabs>
        <w:ind w:left="720" w:hanging="360"/>
      </w:pPr>
      <w:rPr>
        <w:rFonts w:ascii="Arial" w:eastAsia="MS Mincho" w:hAnsi="Arial" w:cs="Symbol" w:hint="default"/>
      </w:rPr>
    </w:lvl>
    <w:lvl w:ilvl="1" w:tplc="B04E558A">
      <w:numFmt w:val="bullet"/>
      <w:lvlText w:val="-"/>
      <w:lvlJc w:val="left"/>
      <w:pPr>
        <w:tabs>
          <w:tab w:val="num" w:pos="1440"/>
        </w:tabs>
        <w:ind w:left="1440" w:hanging="360"/>
      </w:pPr>
      <w:rPr>
        <w:rFonts w:ascii="Times New Roman" w:eastAsia="Times New Roman" w:hAnsi="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9162DC3"/>
    <w:multiLevelType w:val="hybridMultilevel"/>
    <w:tmpl w:val="1A9E6E00"/>
    <w:lvl w:ilvl="0" w:tplc="04100017">
      <w:start w:val="1"/>
      <w:numFmt w:val="lowerLetter"/>
      <w:lvlText w:val="%1)"/>
      <w:lvlJc w:val="left"/>
      <w:pPr>
        <w:ind w:left="360" w:hanging="360"/>
      </w:pPr>
    </w:lvl>
    <w:lvl w:ilvl="1" w:tplc="78F031B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3DCE5B0E"/>
    <w:multiLevelType w:val="hybridMultilevel"/>
    <w:tmpl w:val="FECC697E"/>
    <w:lvl w:ilvl="0" w:tplc="A71C56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40C4C46"/>
    <w:multiLevelType w:val="hybridMultilevel"/>
    <w:tmpl w:val="76BA554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A850526"/>
    <w:multiLevelType w:val="singleLevel"/>
    <w:tmpl w:val="10C0069C"/>
    <w:lvl w:ilvl="0">
      <w:start w:val="1"/>
      <w:numFmt w:val="bullet"/>
      <w:lvlText w:val=""/>
      <w:lvlJc w:val="left"/>
      <w:pPr>
        <w:tabs>
          <w:tab w:val="num" w:pos="360"/>
        </w:tabs>
        <w:ind w:left="360" w:hanging="360"/>
      </w:pPr>
      <w:rPr>
        <w:rFonts w:ascii="Symbol" w:hAnsi="Symbol" w:cs="Symbol" w:hint="default"/>
        <w:color w:val="auto"/>
      </w:rPr>
    </w:lvl>
  </w:abstractNum>
  <w:abstractNum w:abstractNumId="19">
    <w:nsid w:val="4E346EB2"/>
    <w:multiLevelType w:val="hybridMultilevel"/>
    <w:tmpl w:val="3CB2EA5E"/>
    <w:lvl w:ilvl="0" w:tplc="87F8DB8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F7E5A45"/>
    <w:multiLevelType w:val="hybridMultilevel"/>
    <w:tmpl w:val="A7D8B2FE"/>
    <w:lvl w:ilvl="0" w:tplc="8618E4BC">
      <w:numFmt w:val="bullet"/>
      <w:lvlText w:val="-"/>
      <w:lvlJc w:val="left"/>
      <w:pPr>
        <w:tabs>
          <w:tab w:val="num" w:pos="720"/>
        </w:tabs>
        <w:ind w:left="720" w:hanging="360"/>
      </w:pPr>
      <w:rPr>
        <w:rFonts w:ascii="Arial" w:eastAsia="MS Mincho" w:hAnsi="Arial" w:cs="Symbol" w:hint="default"/>
      </w:rPr>
    </w:lvl>
    <w:lvl w:ilvl="1" w:tplc="B04E558A">
      <w:numFmt w:val="bullet"/>
      <w:lvlText w:val="-"/>
      <w:lvlJc w:val="left"/>
      <w:pPr>
        <w:tabs>
          <w:tab w:val="num" w:pos="1440"/>
        </w:tabs>
        <w:ind w:left="1440" w:hanging="360"/>
      </w:pPr>
      <w:rPr>
        <w:rFonts w:ascii="Times New Roman" w:eastAsia="Times New Roman" w:hAnsi="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571165BC"/>
    <w:multiLevelType w:val="hybridMultilevel"/>
    <w:tmpl w:val="779E8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C532198"/>
    <w:multiLevelType w:val="hybridMultilevel"/>
    <w:tmpl w:val="E104F30C"/>
    <w:lvl w:ilvl="0" w:tplc="8618E4BC">
      <w:numFmt w:val="bullet"/>
      <w:lvlText w:val="-"/>
      <w:lvlJc w:val="left"/>
      <w:pPr>
        <w:tabs>
          <w:tab w:val="num" w:pos="720"/>
        </w:tabs>
        <w:ind w:left="720" w:hanging="360"/>
      </w:pPr>
      <w:rPr>
        <w:rFonts w:ascii="Arial" w:eastAsia="MS Mincho" w:hAnsi="Arial" w:cs="Symbol" w:hint="default"/>
      </w:rPr>
    </w:lvl>
    <w:lvl w:ilvl="1" w:tplc="B04E558A">
      <w:numFmt w:val="bullet"/>
      <w:lvlText w:val="-"/>
      <w:lvlJc w:val="left"/>
      <w:pPr>
        <w:tabs>
          <w:tab w:val="num" w:pos="1440"/>
        </w:tabs>
        <w:ind w:left="1440" w:hanging="360"/>
      </w:pPr>
      <w:rPr>
        <w:rFonts w:ascii="Times New Roman" w:eastAsia="Times New Roman" w:hAnsi="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625810AA"/>
    <w:multiLevelType w:val="multilevel"/>
    <w:tmpl w:val="DA348E96"/>
    <w:lvl w:ilvl="0">
      <w:start w:val="1"/>
      <w:numFmt w:val="bullet"/>
      <w:lvlText w:val=""/>
      <w:lvlJc w:val="left"/>
      <w:pPr>
        <w:tabs>
          <w:tab w:val="num" w:pos="2420"/>
        </w:tabs>
        <w:ind w:left="2420" w:hanging="360"/>
      </w:pPr>
      <w:rPr>
        <w:rFonts w:ascii="Symbol" w:hAnsi="Symbol" w:cs="Symbol" w:hint="default"/>
      </w:rPr>
    </w:lvl>
    <w:lvl w:ilvl="1">
      <w:start w:val="1"/>
      <w:numFmt w:val="bullet"/>
      <w:lvlText w:val="o"/>
      <w:lvlJc w:val="left"/>
      <w:pPr>
        <w:tabs>
          <w:tab w:val="num" w:pos="3140"/>
        </w:tabs>
        <w:ind w:left="3140" w:hanging="360"/>
      </w:pPr>
      <w:rPr>
        <w:rFonts w:ascii="Courier New" w:hAnsi="Courier New" w:cs="Courier New" w:hint="default"/>
      </w:rPr>
    </w:lvl>
    <w:lvl w:ilvl="2">
      <w:start w:val="1"/>
      <w:numFmt w:val="bullet"/>
      <w:lvlText w:val=""/>
      <w:lvlJc w:val="left"/>
      <w:pPr>
        <w:tabs>
          <w:tab w:val="num" w:pos="3860"/>
        </w:tabs>
        <w:ind w:left="3860" w:hanging="360"/>
      </w:pPr>
      <w:rPr>
        <w:rFonts w:ascii="Wingdings" w:hAnsi="Wingdings" w:cs="Wingdings" w:hint="default"/>
      </w:rPr>
    </w:lvl>
    <w:lvl w:ilvl="3">
      <w:start w:val="1"/>
      <w:numFmt w:val="bullet"/>
      <w:lvlText w:val=""/>
      <w:lvlJc w:val="left"/>
      <w:pPr>
        <w:tabs>
          <w:tab w:val="num" w:pos="4580"/>
        </w:tabs>
        <w:ind w:left="4580" w:hanging="360"/>
      </w:pPr>
      <w:rPr>
        <w:rFonts w:ascii="Symbol" w:hAnsi="Symbol" w:cs="Symbol" w:hint="default"/>
      </w:rPr>
    </w:lvl>
    <w:lvl w:ilvl="4">
      <w:start w:val="1"/>
      <w:numFmt w:val="bullet"/>
      <w:lvlText w:val="o"/>
      <w:lvlJc w:val="left"/>
      <w:pPr>
        <w:tabs>
          <w:tab w:val="num" w:pos="5300"/>
        </w:tabs>
        <w:ind w:left="5300" w:hanging="360"/>
      </w:pPr>
      <w:rPr>
        <w:rFonts w:ascii="Courier New" w:hAnsi="Courier New" w:cs="Courier New" w:hint="default"/>
      </w:rPr>
    </w:lvl>
    <w:lvl w:ilvl="5">
      <w:start w:val="1"/>
      <w:numFmt w:val="bullet"/>
      <w:lvlText w:val=""/>
      <w:lvlJc w:val="left"/>
      <w:pPr>
        <w:tabs>
          <w:tab w:val="num" w:pos="6020"/>
        </w:tabs>
        <w:ind w:left="6020" w:hanging="360"/>
      </w:pPr>
      <w:rPr>
        <w:rFonts w:ascii="Wingdings" w:hAnsi="Wingdings" w:cs="Wingdings" w:hint="default"/>
      </w:rPr>
    </w:lvl>
    <w:lvl w:ilvl="6">
      <w:start w:val="1"/>
      <w:numFmt w:val="bullet"/>
      <w:lvlText w:val=""/>
      <w:lvlJc w:val="left"/>
      <w:pPr>
        <w:tabs>
          <w:tab w:val="num" w:pos="6740"/>
        </w:tabs>
        <w:ind w:left="6740" w:hanging="360"/>
      </w:pPr>
      <w:rPr>
        <w:rFonts w:ascii="Symbol" w:hAnsi="Symbol" w:cs="Symbol" w:hint="default"/>
      </w:rPr>
    </w:lvl>
    <w:lvl w:ilvl="7">
      <w:start w:val="1"/>
      <w:numFmt w:val="bullet"/>
      <w:lvlText w:val="o"/>
      <w:lvlJc w:val="left"/>
      <w:pPr>
        <w:tabs>
          <w:tab w:val="num" w:pos="7460"/>
        </w:tabs>
        <w:ind w:left="7460" w:hanging="360"/>
      </w:pPr>
      <w:rPr>
        <w:rFonts w:ascii="Courier New" w:hAnsi="Courier New" w:cs="Courier New" w:hint="default"/>
      </w:rPr>
    </w:lvl>
    <w:lvl w:ilvl="8">
      <w:start w:val="1"/>
      <w:numFmt w:val="bullet"/>
      <w:lvlText w:val=""/>
      <w:lvlJc w:val="left"/>
      <w:pPr>
        <w:tabs>
          <w:tab w:val="num" w:pos="8180"/>
        </w:tabs>
        <w:ind w:left="8180" w:hanging="360"/>
      </w:pPr>
      <w:rPr>
        <w:rFonts w:ascii="Wingdings" w:hAnsi="Wingdings" w:cs="Wingdings" w:hint="default"/>
      </w:rPr>
    </w:lvl>
  </w:abstractNum>
  <w:abstractNum w:abstractNumId="24">
    <w:nsid w:val="6AF512B2"/>
    <w:multiLevelType w:val="multilevel"/>
    <w:tmpl w:val="BA66527C"/>
    <w:lvl w:ilvl="0">
      <w:start w:val="4"/>
      <w:numFmt w:val="decimal"/>
      <w:lvlText w:val="%1"/>
      <w:lvlJc w:val="left"/>
      <w:pPr>
        <w:ind w:left="360" w:hanging="360"/>
      </w:pPr>
      <w:rPr>
        <w:rFonts w:cs="Times New Roman" w:hint="default"/>
      </w:rPr>
    </w:lvl>
    <w:lvl w:ilvl="1">
      <w:start w:val="28"/>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70791524"/>
    <w:multiLevelType w:val="hybridMultilevel"/>
    <w:tmpl w:val="87A8C85A"/>
    <w:lvl w:ilvl="0" w:tplc="A71C56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A1E2516"/>
    <w:multiLevelType w:val="hybridMultilevel"/>
    <w:tmpl w:val="D18695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EA01001"/>
    <w:multiLevelType w:val="hybridMultilevel"/>
    <w:tmpl w:val="435471F8"/>
    <w:lvl w:ilvl="0" w:tplc="A3A44DDA">
      <w:start w:val="1"/>
      <w:numFmt w:val="bullet"/>
      <w:lvlText w:val="•"/>
      <w:lvlJc w:val="left"/>
      <w:pPr>
        <w:tabs>
          <w:tab w:val="num" w:pos="720"/>
        </w:tabs>
        <w:ind w:left="720" w:hanging="360"/>
      </w:pPr>
      <w:rPr>
        <w:rFonts w:ascii="Arial" w:hAnsi="Arial" w:hint="default"/>
      </w:rPr>
    </w:lvl>
    <w:lvl w:ilvl="1" w:tplc="33B4E41E" w:tentative="1">
      <w:start w:val="1"/>
      <w:numFmt w:val="bullet"/>
      <w:lvlText w:val="•"/>
      <w:lvlJc w:val="left"/>
      <w:pPr>
        <w:tabs>
          <w:tab w:val="num" w:pos="1440"/>
        </w:tabs>
        <w:ind w:left="1440" w:hanging="360"/>
      </w:pPr>
      <w:rPr>
        <w:rFonts w:ascii="Arial" w:hAnsi="Arial" w:hint="default"/>
      </w:rPr>
    </w:lvl>
    <w:lvl w:ilvl="2" w:tplc="12C8F818" w:tentative="1">
      <w:start w:val="1"/>
      <w:numFmt w:val="bullet"/>
      <w:lvlText w:val="•"/>
      <w:lvlJc w:val="left"/>
      <w:pPr>
        <w:tabs>
          <w:tab w:val="num" w:pos="2160"/>
        </w:tabs>
        <w:ind w:left="2160" w:hanging="360"/>
      </w:pPr>
      <w:rPr>
        <w:rFonts w:ascii="Arial" w:hAnsi="Arial" w:hint="default"/>
      </w:rPr>
    </w:lvl>
    <w:lvl w:ilvl="3" w:tplc="6FC07FD4" w:tentative="1">
      <w:start w:val="1"/>
      <w:numFmt w:val="bullet"/>
      <w:lvlText w:val="•"/>
      <w:lvlJc w:val="left"/>
      <w:pPr>
        <w:tabs>
          <w:tab w:val="num" w:pos="2880"/>
        </w:tabs>
        <w:ind w:left="2880" w:hanging="360"/>
      </w:pPr>
      <w:rPr>
        <w:rFonts w:ascii="Arial" w:hAnsi="Arial" w:hint="default"/>
      </w:rPr>
    </w:lvl>
    <w:lvl w:ilvl="4" w:tplc="86EA6778" w:tentative="1">
      <w:start w:val="1"/>
      <w:numFmt w:val="bullet"/>
      <w:lvlText w:val="•"/>
      <w:lvlJc w:val="left"/>
      <w:pPr>
        <w:tabs>
          <w:tab w:val="num" w:pos="3600"/>
        </w:tabs>
        <w:ind w:left="3600" w:hanging="360"/>
      </w:pPr>
      <w:rPr>
        <w:rFonts w:ascii="Arial" w:hAnsi="Arial" w:hint="default"/>
      </w:rPr>
    </w:lvl>
    <w:lvl w:ilvl="5" w:tplc="CFA22A82" w:tentative="1">
      <w:start w:val="1"/>
      <w:numFmt w:val="bullet"/>
      <w:lvlText w:val="•"/>
      <w:lvlJc w:val="left"/>
      <w:pPr>
        <w:tabs>
          <w:tab w:val="num" w:pos="4320"/>
        </w:tabs>
        <w:ind w:left="4320" w:hanging="360"/>
      </w:pPr>
      <w:rPr>
        <w:rFonts w:ascii="Arial" w:hAnsi="Arial" w:hint="default"/>
      </w:rPr>
    </w:lvl>
    <w:lvl w:ilvl="6" w:tplc="05DAD93C" w:tentative="1">
      <w:start w:val="1"/>
      <w:numFmt w:val="bullet"/>
      <w:lvlText w:val="•"/>
      <w:lvlJc w:val="left"/>
      <w:pPr>
        <w:tabs>
          <w:tab w:val="num" w:pos="5040"/>
        </w:tabs>
        <w:ind w:left="5040" w:hanging="360"/>
      </w:pPr>
      <w:rPr>
        <w:rFonts w:ascii="Arial" w:hAnsi="Arial" w:hint="default"/>
      </w:rPr>
    </w:lvl>
    <w:lvl w:ilvl="7" w:tplc="57AE42AA" w:tentative="1">
      <w:start w:val="1"/>
      <w:numFmt w:val="bullet"/>
      <w:lvlText w:val="•"/>
      <w:lvlJc w:val="left"/>
      <w:pPr>
        <w:tabs>
          <w:tab w:val="num" w:pos="5760"/>
        </w:tabs>
        <w:ind w:left="5760" w:hanging="360"/>
      </w:pPr>
      <w:rPr>
        <w:rFonts w:ascii="Arial" w:hAnsi="Arial" w:hint="default"/>
      </w:rPr>
    </w:lvl>
    <w:lvl w:ilvl="8" w:tplc="F7F62F2A" w:tentative="1">
      <w:start w:val="1"/>
      <w:numFmt w:val="bullet"/>
      <w:lvlText w:val="•"/>
      <w:lvlJc w:val="left"/>
      <w:pPr>
        <w:tabs>
          <w:tab w:val="num" w:pos="6480"/>
        </w:tabs>
        <w:ind w:left="6480" w:hanging="360"/>
      </w:pPr>
      <w:rPr>
        <w:rFonts w:ascii="Arial" w:hAnsi="Arial" w:hint="default"/>
      </w:rPr>
    </w:lvl>
  </w:abstractNum>
  <w:abstractNum w:abstractNumId="28">
    <w:nsid w:val="7EFD1535"/>
    <w:multiLevelType w:val="hybridMultilevel"/>
    <w:tmpl w:val="A05433B2"/>
    <w:lvl w:ilvl="0" w:tplc="7B8ACB6E">
      <w:start w:val="1"/>
      <w:numFmt w:val="bullet"/>
      <w:lvlText w:val="-"/>
      <w:lvlJc w:val="left"/>
      <w:pPr>
        <w:tabs>
          <w:tab w:val="num" w:pos="720"/>
        </w:tabs>
        <w:ind w:left="720" w:hanging="360"/>
      </w:pPr>
      <w:rPr>
        <w:rFonts w:ascii="Times New Roman" w:hAnsi="Times New Roman" w:hint="default"/>
      </w:rPr>
    </w:lvl>
    <w:lvl w:ilvl="1" w:tplc="E102AA18" w:tentative="1">
      <w:start w:val="1"/>
      <w:numFmt w:val="bullet"/>
      <w:lvlText w:val="-"/>
      <w:lvlJc w:val="left"/>
      <w:pPr>
        <w:tabs>
          <w:tab w:val="num" w:pos="1440"/>
        </w:tabs>
        <w:ind w:left="1440" w:hanging="360"/>
      </w:pPr>
      <w:rPr>
        <w:rFonts w:ascii="Times New Roman" w:hAnsi="Times New Roman" w:hint="default"/>
      </w:rPr>
    </w:lvl>
    <w:lvl w:ilvl="2" w:tplc="D89432F6" w:tentative="1">
      <w:start w:val="1"/>
      <w:numFmt w:val="bullet"/>
      <w:lvlText w:val="-"/>
      <w:lvlJc w:val="left"/>
      <w:pPr>
        <w:tabs>
          <w:tab w:val="num" w:pos="2160"/>
        </w:tabs>
        <w:ind w:left="2160" w:hanging="360"/>
      </w:pPr>
      <w:rPr>
        <w:rFonts w:ascii="Times New Roman" w:hAnsi="Times New Roman" w:hint="default"/>
      </w:rPr>
    </w:lvl>
    <w:lvl w:ilvl="3" w:tplc="6E4E28A6" w:tentative="1">
      <w:start w:val="1"/>
      <w:numFmt w:val="bullet"/>
      <w:lvlText w:val="-"/>
      <w:lvlJc w:val="left"/>
      <w:pPr>
        <w:tabs>
          <w:tab w:val="num" w:pos="2880"/>
        </w:tabs>
        <w:ind w:left="2880" w:hanging="360"/>
      </w:pPr>
      <w:rPr>
        <w:rFonts w:ascii="Times New Roman" w:hAnsi="Times New Roman" w:hint="default"/>
      </w:rPr>
    </w:lvl>
    <w:lvl w:ilvl="4" w:tplc="D43C8036" w:tentative="1">
      <w:start w:val="1"/>
      <w:numFmt w:val="bullet"/>
      <w:lvlText w:val="-"/>
      <w:lvlJc w:val="left"/>
      <w:pPr>
        <w:tabs>
          <w:tab w:val="num" w:pos="3600"/>
        </w:tabs>
        <w:ind w:left="3600" w:hanging="360"/>
      </w:pPr>
      <w:rPr>
        <w:rFonts w:ascii="Times New Roman" w:hAnsi="Times New Roman" w:hint="default"/>
      </w:rPr>
    </w:lvl>
    <w:lvl w:ilvl="5" w:tplc="FDECD084" w:tentative="1">
      <w:start w:val="1"/>
      <w:numFmt w:val="bullet"/>
      <w:lvlText w:val="-"/>
      <w:lvlJc w:val="left"/>
      <w:pPr>
        <w:tabs>
          <w:tab w:val="num" w:pos="4320"/>
        </w:tabs>
        <w:ind w:left="4320" w:hanging="360"/>
      </w:pPr>
      <w:rPr>
        <w:rFonts w:ascii="Times New Roman" w:hAnsi="Times New Roman" w:hint="default"/>
      </w:rPr>
    </w:lvl>
    <w:lvl w:ilvl="6" w:tplc="CE702D4A" w:tentative="1">
      <w:start w:val="1"/>
      <w:numFmt w:val="bullet"/>
      <w:lvlText w:val="-"/>
      <w:lvlJc w:val="left"/>
      <w:pPr>
        <w:tabs>
          <w:tab w:val="num" w:pos="5040"/>
        </w:tabs>
        <w:ind w:left="5040" w:hanging="360"/>
      </w:pPr>
      <w:rPr>
        <w:rFonts w:ascii="Times New Roman" w:hAnsi="Times New Roman" w:hint="default"/>
      </w:rPr>
    </w:lvl>
    <w:lvl w:ilvl="7" w:tplc="EE70FD90" w:tentative="1">
      <w:start w:val="1"/>
      <w:numFmt w:val="bullet"/>
      <w:lvlText w:val="-"/>
      <w:lvlJc w:val="left"/>
      <w:pPr>
        <w:tabs>
          <w:tab w:val="num" w:pos="5760"/>
        </w:tabs>
        <w:ind w:left="5760" w:hanging="360"/>
      </w:pPr>
      <w:rPr>
        <w:rFonts w:ascii="Times New Roman" w:hAnsi="Times New Roman" w:hint="default"/>
      </w:rPr>
    </w:lvl>
    <w:lvl w:ilvl="8" w:tplc="326A5FD4"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23"/>
  </w:num>
  <w:num w:numId="3">
    <w:abstractNumId w:val="9"/>
  </w:num>
  <w:num w:numId="4">
    <w:abstractNumId w:val="18"/>
  </w:num>
  <w:num w:numId="5">
    <w:abstractNumId w:val="2"/>
  </w:num>
  <w:num w:numId="6">
    <w:abstractNumId w:val="1"/>
  </w:num>
  <w:num w:numId="7">
    <w:abstractNumId w:val="5"/>
  </w:num>
  <w:num w:numId="8">
    <w:abstractNumId w:val="19"/>
  </w:num>
  <w:num w:numId="9">
    <w:abstractNumId w:val="7"/>
  </w:num>
  <w:num w:numId="1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abstractNumId w:val="6"/>
  </w:num>
  <w:num w:numId="12">
    <w:abstractNumId w:val="13"/>
  </w:num>
  <w:num w:numId="13">
    <w:abstractNumId w:val="4"/>
  </w:num>
  <w:num w:numId="14">
    <w:abstractNumId w:val="14"/>
  </w:num>
  <w:num w:numId="15">
    <w:abstractNumId w:val="22"/>
  </w:num>
  <w:num w:numId="16">
    <w:abstractNumId w:val="20"/>
  </w:num>
  <w:num w:numId="17">
    <w:abstractNumId w:val="24"/>
  </w:num>
  <w:num w:numId="18">
    <w:abstractNumId w:val="17"/>
  </w:num>
  <w:num w:numId="19">
    <w:abstractNumId w:val="26"/>
  </w:num>
  <w:num w:numId="20">
    <w:abstractNumId w:val="10"/>
  </w:num>
  <w:num w:numId="21">
    <w:abstractNumId w:val="11"/>
  </w:num>
  <w:num w:numId="22">
    <w:abstractNumId w:val="25"/>
  </w:num>
  <w:num w:numId="23">
    <w:abstractNumId w:val="15"/>
  </w:num>
  <w:num w:numId="24">
    <w:abstractNumId w:val="3"/>
  </w:num>
  <w:num w:numId="25">
    <w:abstractNumId w:val="16"/>
  </w:num>
  <w:num w:numId="26">
    <w:abstractNumId w:val="28"/>
  </w:num>
  <w:num w:numId="27">
    <w:abstractNumId w:val="8"/>
  </w:num>
  <w:num w:numId="28">
    <w:abstractNumId w:val="2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284"/>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CD8"/>
    <w:rsid w:val="00002087"/>
    <w:rsid w:val="00002AEE"/>
    <w:rsid w:val="00004EA7"/>
    <w:rsid w:val="000057D3"/>
    <w:rsid w:val="00006898"/>
    <w:rsid w:val="000068FD"/>
    <w:rsid w:val="00006C42"/>
    <w:rsid w:val="00007A06"/>
    <w:rsid w:val="00007E81"/>
    <w:rsid w:val="00010714"/>
    <w:rsid w:val="00011590"/>
    <w:rsid w:val="00012D2C"/>
    <w:rsid w:val="00013D6A"/>
    <w:rsid w:val="0001577F"/>
    <w:rsid w:val="00020E31"/>
    <w:rsid w:val="00020FC6"/>
    <w:rsid w:val="00026773"/>
    <w:rsid w:val="00027AB2"/>
    <w:rsid w:val="00031D90"/>
    <w:rsid w:val="00034626"/>
    <w:rsid w:val="000362ED"/>
    <w:rsid w:val="00036518"/>
    <w:rsid w:val="000427F6"/>
    <w:rsid w:val="0004363B"/>
    <w:rsid w:val="000439F3"/>
    <w:rsid w:val="00045B00"/>
    <w:rsid w:val="00047E73"/>
    <w:rsid w:val="000514F6"/>
    <w:rsid w:val="000532F8"/>
    <w:rsid w:val="00053A15"/>
    <w:rsid w:val="00055143"/>
    <w:rsid w:val="000561A9"/>
    <w:rsid w:val="000564FE"/>
    <w:rsid w:val="000570D1"/>
    <w:rsid w:val="0005762D"/>
    <w:rsid w:val="00057FCA"/>
    <w:rsid w:val="00062188"/>
    <w:rsid w:val="0006307B"/>
    <w:rsid w:val="00063CD2"/>
    <w:rsid w:val="00064C66"/>
    <w:rsid w:val="00064CD8"/>
    <w:rsid w:val="000657C4"/>
    <w:rsid w:val="00066FB2"/>
    <w:rsid w:val="00073606"/>
    <w:rsid w:val="00073B47"/>
    <w:rsid w:val="00074CE8"/>
    <w:rsid w:val="0007582C"/>
    <w:rsid w:val="00076254"/>
    <w:rsid w:val="00077456"/>
    <w:rsid w:val="0007786B"/>
    <w:rsid w:val="000815D4"/>
    <w:rsid w:val="00082F5A"/>
    <w:rsid w:val="00083170"/>
    <w:rsid w:val="000848F8"/>
    <w:rsid w:val="00086C14"/>
    <w:rsid w:val="00090A50"/>
    <w:rsid w:val="00092C6E"/>
    <w:rsid w:val="00096417"/>
    <w:rsid w:val="00097AF3"/>
    <w:rsid w:val="000A087D"/>
    <w:rsid w:val="000A1DAB"/>
    <w:rsid w:val="000A254C"/>
    <w:rsid w:val="000A3870"/>
    <w:rsid w:val="000A3E1A"/>
    <w:rsid w:val="000A6219"/>
    <w:rsid w:val="000B0842"/>
    <w:rsid w:val="000B1125"/>
    <w:rsid w:val="000B1923"/>
    <w:rsid w:val="000B233A"/>
    <w:rsid w:val="000B606A"/>
    <w:rsid w:val="000B6C63"/>
    <w:rsid w:val="000C0770"/>
    <w:rsid w:val="000C2324"/>
    <w:rsid w:val="000C2C1D"/>
    <w:rsid w:val="000C362B"/>
    <w:rsid w:val="000C69FD"/>
    <w:rsid w:val="000C7D80"/>
    <w:rsid w:val="000D12B9"/>
    <w:rsid w:val="000D1A6E"/>
    <w:rsid w:val="000D2399"/>
    <w:rsid w:val="000D3421"/>
    <w:rsid w:val="000D454F"/>
    <w:rsid w:val="000D7768"/>
    <w:rsid w:val="000E156E"/>
    <w:rsid w:val="000E2CB5"/>
    <w:rsid w:val="000E3BF6"/>
    <w:rsid w:val="000E4F2F"/>
    <w:rsid w:val="000E5CF9"/>
    <w:rsid w:val="000E706C"/>
    <w:rsid w:val="000E731D"/>
    <w:rsid w:val="000F1213"/>
    <w:rsid w:val="000F1FF6"/>
    <w:rsid w:val="000F2130"/>
    <w:rsid w:val="000F2320"/>
    <w:rsid w:val="000F2606"/>
    <w:rsid w:val="000F4E6D"/>
    <w:rsid w:val="000F6148"/>
    <w:rsid w:val="000F697B"/>
    <w:rsid w:val="00100172"/>
    <w:rsid w:val="001012D8"/>
    <w:rsid w:val="00102ACC"/>
    <w:rsid w:val="00103396"/>
    <w:rsid w:val="0010408C"/>
    <w:rsid w:val="00104639"/>
    <w:rsid w:val="00105380"/>
    <w:rsid w:val="001066E7"/>
    <w:rsid w:val="001070F4"/>
    <w:rsid w:val="00107F98"/>
    <w:rsid w:val="0011082C"/>
    <w:rsid w:val="00110F61"/>
    <w:rsid w:val="00113844"/>
    <w:rsid w:val="0011485E"/>
    <w:rsid w:val="001156BD"/>
    <w:rsid w:val="00116933"/>
    <w:rsid w:val="00117B5D"/>
    <w:rsid w:val="00117F41"/>
    <w:rsid w:val="0012006F"/>
    <w:rsid w:val="001213EC"/>
    <w:rsid w:val="001217FC"/>
    <w:rsid w:val="001231B5"/>
    <w:rsid w:val="00123636"/>
    <w:rsid w:val="00125398"/>
    <w:rsid w:val="00125971"/>
    <w:rsid w:val="00125AEE"/>
    <w:rsid w:val="001266C8"/>
    <w:rsid w:val="001312DE"/>
    <w:rsid w:val="001314D9"/>
    <w:rsid w:val="00131E9B"/>
    <w:rsid w:val="00133CDA"/>
    <w:rsid w:val="00134E88"/>
    <w:rsid w:val="0013515D"/>
    <w:rsid w:val="0013635B"/>
    <w:rsid w:val="00136D70"/>
    <w:rsid w:val="001370A5"/>
    <w:rsid w:val="0013774E"/>
    <w:rsid w:val="001409D0"/>
    <w:rsid w:val="00141002"/>
    <w:rsid w:val="00144427"/>
    <w:rsid w:val="001468BB"/>
    <w:rsid w:val="00147BC3"/>
    <w:rsid w:val="001503F6"/>
    <w:rsid w:val="00151E35"/>
    <w:rsid w:val="001533ED"/>
    <w:rsid w:val="00155670"/>
    <w:rsid w:val="00155EB0"/>
    <w:rsid w:val="00157C49"/>
    <w:rsid w:val="00157F53"/>
    <w:rsid w:val="00161207"/>
    <w:rsid w:val="00161B4E"/>
    <w:rsid w:val="00162994"/>
    <w:rsid w:val="00163546"/>
    <w:rsid w:val="001638E3"/>
    <w:rsid w:val="001652BE"/>
    <w:rsid w:val="0016688C"/>
    <w:rsid w:val="0016785F"/>
    <w:rsid w:val="001700A0"/>
    <w:rsid w:val="00172E8F"/>
    <w:rsid w:val="0017533B"/>
    <w:rsid w:val="00177DB5"/>
    <w:rsid w:val="00180061"/>
    <w:rsid w:val="0018358E"/>
    <w:rsid w:val="00183F81"/>
    <w:rsid w:val="00184403"/>
    <w:rsid w:val="0018508D"/>
    <w:rsid w:val="001867C1"/>
    <w:rsid w:val="00186B51"/>
    <w:rsid w:val="00190BF7"/>
    <w:rsid w:val="00193EF4"/>
    <w:rsid w:val="001945D5"/>
    <w:rsid w:val="001963B5"/>
    <w:rsid w:val="00197143"/>
    <w:rsid w:val="001A03DE"/>
    <w:rsid w:val="001A1656"/>
    <w:rsid w:val="001A52B5"/>
    <w:rsid w:val="001A76DB"/>
    <w:rsid w:val="001B17B1"/>
    <w:rsid w:val="001B2E23"/>
    <w:rsid w:val="001B468D"/>
    <w:rsid w:val="001B4B03"/>
    <w:rsid w:val="001B4CEC"/>
    <w:rsid w:val="001B4F57"/>
    <w:rsid w:val="001B5052"/>
    <w:rsid w:val="001B5FFB"/>
    <w:rsid w:val="001B76B0"/>
    <w:rsid w:val="001B7D8E"/>
    <w:rsid w:val="001C1A28"/>
    <w:rsid w:val="001C24A7"/>
    <w:rsid w:val="001C3D93"/>
    <w:rsid w:val="001C4680"/>
    <w:rsid w:val="001C6787"/>
    <w:rsid w:val="001C6E64"/>
    <w:rsid w:val="001C754E"/>
    <w:rsid w:val="001D3978"/>
    <w:rsid w:val="001D58EC"/>
    <w:rsid w:val="001D5A45"/>
    <w:rsid w:val="001D5E31"/>
    <w:rsid w:val="001D708B"/>
    <w:rsid w:val="001D78BF"/>
    <w:rsid w:val="001E028F"/>
    <w:rsid w:val="001E03F3"/>
    <w:rsid w:val="001E07C8"/>
    <w:rsid w:val="001E15B7"/>
    <w:rsid w:val="001E19E7"/>
    <w:rsid w:val="001E1CE3"/>
    <w:rsid w:val="001E2317"/>
    <w:rsid w:val="001E2F2D"/>
    <w:rsid w:val="001E563C"/>
    <w:rsid w:val="001E6003"/>
    <w:rsid w:val="001F0073"/>
    <w:rsid w:val="001F22EA"/>
    <w:rsid w:val="001F2EDF"/>
    <w:rsid w:val="001F35EE"/>
    <w:rsid w:val="001F43C6"/>
    <w:rsid w:val="001F4427"/>
    <w:rsid w:val="001F554A"/>
    <w:rsid w:val="001F566B"/>
    <w:rsid w:val="001F7B40"/>
    <w:rsid w:val="001F7F54"/>
    <w:rsid w:val="0020006D"/>
    <w:rsid w:val="00200354"/>
    <w:rsid w:val="00202964"/>
    <w:rsid w:val="00202A79"/>
    <w:rsid w:val="00202FE5"/>
    <w:rsid w:val="00206D35"/>
    <w:rsid w:val="00207156"/>
    <w:rsid w:val="002073A0"/>
    <w:rsid w:val="0021049E"/>
    <w:rsid w:val="00210A19"/>
    <w:rsid w:val="00211019"/>
    <w:rsid w:val="00211204"/>
    <w:rsid w:val="002121A8"/>
    <w:rsid w:val="00212461"/>
    <w:rsid w:val="00213172"/>
    <w:rsid w:val="0021413E"/>
    <w:rsid w:val="00214248"/>
    <w:rsid w:val="00217041"/>
    <w:rsid w:val="00217C84"/>
    <w:rsid w:val="0022090E"/>
    <w:rsid w:val="00221B22"/>
    <w:rsid w:val="0022280D"/>
    <w:rsid w:val="00222F5B"/>
    <w:rsid w:val="00223724"/>
    <w:rsid w:val="00224475"/>
    <w:rsid w:val="00224DF2"/>
    <w:rsid w:val="00225FD3"/>
    <w:rsid w:val="0023156E"/>
    <w:rsid w:val="0023427F"/>
    <w:rsid w:val="00235891"/>
    <w:rsid w:val="00236187"/>
    <w:rsid w:val="0023664E"/>
    <w:rsid w:val="00236F4B"/>
    <w:rsid w:val="00236FF5"/>
    <w:rsid w:val="00241FCC"/>
    <w:rsid w:val="00242EBC"/>
    <w:rsid w:val="00243002"/>
    <w:rsid w:val="00243085"/>
    <w:rsid w:val="002446D2"/>
    <w:rsid w:val="00246995"/>
    <w:rsid w:val="002469E2"/>
    <w:rsid w:val="00247009"/>
    <w:rsid w:val="00247885"/>
    <w:rsid w:val="002478FB"/>
    <w:rsid w:val="00250478"/>
    <w:rsid w:val="0025079F"/>
    <w:rsid w:val="00250E6C"/>
    <w:rsid w:val="00252798"/>
    <w:rsid w:val="00252F38"/>
    <w:rsid w:val="00253DA9"/>
    <w:rsid w:val="0025673A"/>
    <w:rsid w:val="0025722E"/>
    <w:rsid w:val="00257AD1"/>
    <w:rsid w:val="00257DBA"/>
    <w:rsid w:val="0026019F"/>
    <w:rsid w:val="00261141"/>
    <w:rsid w:val="00261697"/>
    <w:rsid w:val="00261758"/>
    <w:rsid w:val="0026489F"/>
    <w:rsid w:val="0026507D"/>
    <w:rsid w:val="00265C83"/>
    <w:rsid w:val="00265E28"/>
    <w:rsid w:val="002667E9"/>
    <w:rsid w:val="00270EAC"/>
    <w:rsid w:val="002730AC"/>
    <w:rsid w:val="00273D8E"/>
    <w:rsid w:val="00274776"/>
    <w:rsid w:val="00274F8F"/>
    <w:rsid w:val="00281276"/>
    <w:rsid w:val="002828AA"/>
    <w:rsid w:val="002829B7"/>
    <w:rsid w:val="0028563A"/>
    <w:rsid w:val="0028594A"/>
    <w:rsid w:val="002867E5"/>
    <w:rsid w:val="00286CC1"/>
    <w:rsid w:val="00291F0F"/>
    <w:rsid w:val="0029450A"/>
    <w:rsid w:val="00294695"/>
    <w:rsid w:val="00294F1F"/>
    <w:rsid w:val="00296775"/>
    <w:rsid w:val="002A091A"/>
    <w:rsid w:val="002A2980"/>
    <w:rsid w:val="002A3613"/>
    <w:rsid w:val="002A447D"/>
    <w:rsid w:val="002A4619"/>
    <w:rsid w:val="002A5754"/>
    <w:rsid w:val="002A61AF"/>
    <w:rsid w:val="002A6494"/>
    <w:rsid w:val="002A6C0D"/>
    <w:rsid w:val="002B111A"/>
    <w:rsid w:val="002B2108"/>
    <w:rsid w:val="002B2216"/>
    <w:rsid w:val="002B3EE3"/>
    <w:rsid w:val="002B463D"/>
    <w:rsid w:val="002B49D7"/>
    <w:rsid w:val="002B56DA"/>
    <w:rsid w:val="002B5F42"/>
    <w:rsid w:val="002C010C"/>
    <w:rsid w:val="002C12E0"/>
    <w:rsid w:val="002C3190"/>
    <w:rsid w:val="002C4041"/>
    <w:rsid w:val="002C446A"/>
    <w:rsid w:val="002C5397"/>
    <w:rsid w:val="002D19B3"/>
    <w:rsid w:val="002D423B"/>
    <w:rsid w:val="002D4735"/>
    <w:rsid w:val="002D6C47"/>
    <w:rsid w:val="002D6DC7"/>
    <w:rsid w:val="002E1504"/>
    <w:rsid w:val="002E1A72"/>
    <w:rsid w:val="002E1B35"/>
    <w:rsid w:val="002E2CA9"/>
    <w:rsid w:val="002E7556"/>
    <w:rsid w:val="002E7938"/>
    <w:rsid w:val="002E7BF6"/>
    <w:rsid w:val="002F1616"/>
    <w:rsid w:val="002F2386"/>
    <w:rsid w:val="002F3A7A"/>
    <w:rsid w:val="002F41A1"/>
    <w:rsid w:val="002F41B4"/>
    <w:rsid w:val="002F4370"/>
    <w:rsid w:val="002F6B92"/>
    <w:rsid w:val="002F7E27"/>
    <w:rsid w:val="003003D0"/>
    <w:rsid w:val="00300A44"/>
    <w:rsid w:val="00301909"/>
    <w:rsid w:val="0030196C"/>
    <w:rsid w:val="0030232A"/>
    <w:rsid w:val="00302C1D"/>
    <w:rsid w:val="003032A4"/>
    <w:rsid w:val="00303F3B"/>
    <w:rsid w:val="00305BA5"/>
    <w:rsid w:val="00305D86"/>
    <w:rsid w:val="00306B2A"/>
    <w:rsid w:val="003111EF"/>
    <w:rsid w:val="00311B05"/>
    <w:rsid w:val="003131A1"/>
    <w:rsid w:val="00314393"/>
    <w:rsid w:val="00315154"/>
    <w:rsid w:val="00317664"/>
    <w:rsid w:val="0031791F"/>
    <w:rsid w:val="0031798E"/>
    <w:rsid w:val="00321240"/>
    <w:rsid w:val="003232B0"/>
    <w:rsid w:val="003239C1"/>
    <w:rsid w:val="00323FA7"/>
    <w:rsid w:val="0032590D"/>
    <w:rsid w:val="00326F46"/>
    <w:rsid w:val="00327BBE"/>
    <w:rsid w:val="00330469"/>
    <w:rsid w:val="00330887"/>
    <w:rsid w:val="003311F2"/>
    <w:rsid w:val="0033277F"/>
    <w:rsid w:val="00340171"/>
    <w:rsid w:val="00340BB5"/>
    <w:rsid w:val="00343E2B"/>
    <w:rsid w:val="00345552"/>
    <w:rsid w:val="003455FB"/>
    <w:rsid w:val="003506AB"/>
    <w:rsid w:val="00350EF9"/>
    <w:rsid w:val="003549C5"/>
    <w:rsid w:val="00354AC4"/>
    <w:rsid w:val="00356505"/>
    <w:rsid w:val="003574A0"/>
    <w:rsid w:val="003605AF"/>
    <w:rsid w:val="00363D54"/>
    <w:rsid w:val="00364662"/>
    <w:rsid w:val="00365889"/>
    <w:rsid w:val="0036719D"/>
    <w:rsid w:val="00375ED1"/>
    <w:rsid w:val="003775A4"/>
    <w:rsid w:val="00377CDD"/>
    <w:rsid w:val="00380434"/>
    <w:rsid w:val="0038086D"/>
    <w:rsid w:val="00381F2B"/>
    <w:rsid w:val="00382D3A"/>
    <w:rsid w:val="00386BA9"/>
    <w:rsid w:val="00387B62"/>
    <w:rsid w:val="00390979"/>
    <w:rsid w:val="003956C2"/>
    <w:rsid w:val="00395F18"/>
    <w:rsid w:val="00397513"/>
    <w:rsid w:val="003A040E"/>
    <w:rsid w:val="003A387A"/>
    <w:rsid w:val="003A6E79"/>
    <w:rsid w:val="003B0199"/>
    <w:rsid w:val="003B4C9F"/>
    <w:rsid w:val="003B6C53"/>
    <w:rsid w:val="003B7AF0"/>
    <w:rsid w:val="003B7C60"/>
    <w:rsid w:val="003C15A8"/>
    <w:rsid w:val="003C3BF8"/>
    <w:rsid w:val="003C4707"/>
    <w:rsid w:val="003C523A"/>
    <w:rsid w:val="003C6C62"/>
    <w:rsid w:val="003C6EFF"/>
    <w:rsid w:val="003C7911"/>
    <w:rsid w:val="003C7E88"/>
    <w:rsid w:val="003D006F"/>
    <w:rsid w:val="003D0303"/>
    <w:rsid w:val="003D058F"/>
    <w:rsid w:val="003D08AE"/>
    <w:rsid w:val="003D2E1D"/>
    <w:rsid w:val="003D55E1"/>
    <w:rsid w:val="003D56FE"/>
    <w:rsid w:val="003D67D0"/>
    <w:rsid w:val="003D69A9"/>
    <w:rsid w:val="003E09B8"/>
    <w:rsid w:val="003E2144"/>
    <w:rsid w:val="003E38AC"/>
    <w:rsid w:val="003E4346"/>
    <w:rsid w:val="003E4E6D"/>
    <w:rsid w:val="003E6014"/>
    <w:rsid w:val="003E6643"/>
    <w:rsid w:val="003F060A"/>
    <w:rsid w:val="003F2256"/>
    <w:rsid w:val="003F38CD"/>
    <w:rsid w:val="003F55F7"/>
    <w:rsid w:val="003F5E8C"/>
    <w:rsid w:val="003F7BA6"/>
    <w:rsid w:val="00400978"/>
    <w:rsid w:val="0040116C"/>
    <w:rsid w:val="00401493"/>
    <w:rsid w:val="004025D6"/>
    <w:rsid w:val="00402B05"/>
    <w:rsid w:val="00402EA9"/>
    <w:rsid w:val="00405024"/>
    <w:rsid w:val="0040654E"/>
    <w:rsid w:val="00406885"/>
    <w:rsid w:val="00407D5A"/>
    <w:rsid w:val="00407FDD"/>
    <w:rsid w:val="00411A6C"/>
    <w:rsid w:val="00411DE2"/>
    <w:rsid w:val="00412AAE"/>
    <w:rsid w:val="00412E30"/>
    <w:rsid w:val="00413B20"/>
    <w:rsid w:val="00414CB7"/>
    <w:rsid w:val="0041613E"/>
    <w:rsid w:val="004177DC"/>
    <w:rsid w:val="00417F96"/>
    <w:rsid w:val="0042001B"/>
    <w:rsid w:val="00421311"/>
    <w:rsid w:val="0042146E"/>
    <w:rsid w:val="00423B17"/>
    <w:rsid w:val="00423BA7"/>
    <w:rsid w:val="00424C7E"/>
    <w:rsid w:val="004250D9"/>
    <w:rsid w:val="004257F4"/>
    <w:rsid w:val="004260FA"/>
    <w:rsid w:val="004261C9"/>
    <w:rsid w:val="004264E7"/>
    <w:rsid w:val="00431460"/>
    <w:rsid w:val="00432ABC"/>
    <w:rsid w:val="00432D51"/>
    <w:rsid w:val="00433FB4"/>
    <w:rsid w:val="004347F3"/>
    <w:rsid w:val="004352E4"/>
    <w:rsid w:val="00435A4D"/>
    <w:rsid w:val="00436D85"/>
    <w:rsid w:val="00437529"/>
    <w:rsid w:val="00441D5E"/>
    <w:rsid w:val="0044258B"/>
    <w:rsid w:val="004430B5"/>
    <w:rsid w:val="00443BD9"/>
    <w:rsid w:val="0044451A"/>
    <w:rsid w:val="004447FF"/>
    <w:rsid w:val="00444A5A"/>
    <w:rsid w:val="00445622"/>
    <w:rsid w:val="00445E43"/>
    <w:rsid w:val="00445F00"/>
    <w:rsid w:val="00446BD4"/>
    <w:rsid w:val="00446F13"/>
    <w:rsid w:val="00451118"/>
    <w:rsid w:val="0045153A"/>
    <w:rsid w:val="00451A8B"/>
    <w:rsid w:val="004551D2"/>
    <w:rsid w:val="00456C09"/>
    <w:rsid w:val="0046030A"/>
    <w:rsid w:val="00462C79"/>
    <w:rsid w:val="0046518F"/>
    <w:rsid w:val="00466F56"/>
    <w:rsid w:val="004706B6"/>
    <w:rsid w:val="004710CD"/>
    <w:rsid w:val="00472847"/>
    <w:rsid w:val="004736E2"/>
    <w:rsid w:val="0047428C"/>
    <w:rsid w:val="00474FE5"/>
    <w:rsid w:val="00475846"/>
    <w:rsid w:val="00475ABB"/>
    <w:rsid w:val="0047638B"/>
    <w:rsid w:val="0048005A"/>
    <w:rsid w:val="00481746"/>
    <w:rsid w:val="004818A1"/>
    <w:rsid w:val="004821C1"/>
    <w:rsid w:val="0048442D"/>
    <w:rsid w:val="00485012"/>
    <w:rsid w:val="00487EF0"/>
    <w:rsid w:val="004901A4"/>
    <w:rsid w:val="00490A8E"/>
    <w:rsid w:val="00491558"/>
    <w:rsid w:val="0049190F"/>
    <w:rsid w:val="00493AA0"/>
    <w:rsid w:val="00493C58"/>
    <w:rsid w:val="00497285"/>
    <w:rsid w:val="004A1E5B"/>
    <w:rsid w:val="004A2379"/>
    <w:rsid w:val="004A34E2"/>
    <w:rsid w:val="004A43F5"/>
    <w:rsid w:val="004A5FD4"/>
    <w:rsid w:val="004A6B48"/>
    <w:rsid w:val="004A6EAC"/>
    <w:rsid w:val="004A7ABE"/>
    <w:rsid w:val="004B0D74"/>
    <w:rsid w:val="004B34E3"/>
    <w:rsid w:val="004B387B"/>
    <w:rsid w:val="004B3BCB"/>
    <w:rsid w:val="004B44BC"/>
    <w:rsid w:val="004B4CBA"/>
    <w:rsid w:val="004B5A22"/>
    <w:rsid w:val="004B5AF2"/>
    <w:rsid w:val="004C033F"/>
    <w:rsid w:val="004C11C7"/>
    <w:rsid w:val="004C193C"/>
    <w:rsid w:val="004C2608"/>
    <w:rsid w:val="004C33F9"/>
    <w:rsid w:val="004C33FC"/>
    <w:rsid w:val="004C34D2"/>
    <w:rsid w:val="004C5767"/>
    <w:rsid w:val="004C5BD3"/>
    <w:rsid w:val="004C5C2E"/>
    <w:rsid w:val="004C67FE"/>
    <w:rsid w:val="004C68CD"/>
    <w:rsid w:val="004C747E"/>
    <w:rsid w:val="004D04A5"/>
    <w:rsid w:val="004D1840"/>
    <w:rsid w:val="004D19F0"/>
    <w:rsid w:val="004D3124"/>
    <w:rsid w:val="004D54F8"/>
    <w:rsid w:val="004D5D3F"/>
    <w:rsid w:val="004D5E9B"/>
    <w:rsid w:val="004E0783"/>
    <w:rsid w:val="004E0DB8"/>
    <w:rsid w:val="004E23AC"/>
    <w:rsid w:val="004E2B9B"/>
    <w:rsid w:val="004E42A2"/>
    <w:rsid w:val="004E56A1"/>
    <w:rsid w:val="004F0196"/>
    <w:rsid w:val="004F0EC0"/>
    <w:rsid w:val="004F1CEB"/>
    <w:rsid w:val="004F20FA"/>
    <w:rsid w:val="004F213C"/>
    <w:rsid w:val="004F24AB"/>
    <w:rsid w:val="004F25C0"/>
    <w:rsid w:val="004F4F7A"/>
    <w:rsid w:val="004F51CB"/>
    <w:rsid w:val="004F5805"/>
    <w:rsid w:val="004F59B6"/>
    <w:rsid w:val="004F5FFA"/>
    <w:rsid w:val="004F62BE"/>
    <w:rsid w:val="004F7482"/>
    <w:rsid w:val="0050161E"/>
    <w:rsid w:val="00502043"/>
    <w:rsid w:val="005029DC"/>
    <w:rsid w:val="00503704"/>
    <w:rsid w:val="00503A1C"/>
    <w:rsid w:val="00505CE7"/>
    <w:rsid w:val="00507238"/>
    <w:rsid w:val="0051052D"/>
    <w:rsid w:val="00510889"/>
    <w:rsid w:val="00511D0D"/>
    <w:rsid w:val="00516659"/>
    <w:rsid w:val="0051679E"/>
    <w:rsid w:val="00520C21"/>
    <w:rsid w:val="00521401"/>
    <w:rsid w:val="00524DA2"/>
    <w:rsid w:val="00525D6D"/>
    <w:rsid w:val="00527480"/>
    <w:rsid w:val="00530027"/>
    <w:rsid w:val="0053101B"/>
    <w:rsid w:val="00531411"/>
    <w:rsid w:val="0053285B"/>
    <w:rsid w:val="005349CE"/>
    <w:rsid w:val="00535520"/>
    <w:rsid w:val="00536721"/>
    <w:rsid w:val="00541BFE"/>
    <w:rsid w:val="00542BDB"/>
    <w:rsid w:val="005431CB"/>
    <w:rsid w:val="005438CD"/>
    <w:rsid w:val="00543F93"/>
    <w:rsid w:val="00544805"/>
    <w:rsid w:val="00544965"/>
    <w:rsid w:val="00550594"/>
    <w:rsid w:val="00550721"/>
    <w:rsid w:val="00550AAB"/>
    <w:rsid w:val="00550D23"/>
    <w:rsid w:val="00550FDB"/>
    <w:rsid w:val="0055136A"/>
    <w:rsid w:val="00551B04"/>
    <w:rsid w:val="005538EB"/>
    <w:rsid w:val="00555611"/>
    <w:rsid w:val="00555AA1"/>
    <w:rsid w:val="00556370"/>
    <w:rsid w:val="00556A67"/>
    <w:rsid w:val="005574F1"/>
    <w:rsid w:val="005621DD"/>
    <w:rsid w:val="00564287"/>
    <w:rsid w:val="005644B6"/>
    <w:rsid w:val="0056513E"/>
    <w:rsid w:val="005658FC"/>
    <w:rsid w:val="00565E12"/>
    <w:rsid w:val="005701C5"/>
    <w:rsid w:val="00571392"/>
    <w:rsid w:val="005723A7"/>
    <w:rsid w:val="0057308B"/>
    <w:rsid w:val="005730EB"/>
    <w:rsid w:val="00573F8A"/>
    <w:rsid w:val="00574FA4"/>
    <w:rsid w:val="00575EEE"/>
    <w:rsid w:val="0057672D"/>
    <w:rsid w:val="00577549"/>
    <w:rsid w:val="00580E6E"/>
    <w:rsid w:val="0058174D"/>
    <w:rsid w:val="005817D2"/>
    <w:rsid w:val="005830D1"/>
    <w:rsid w:val="00583C48"/>
    <w:rsid w:val="00584CF5"/>
    <w:rsid w:val="00586D00"/>
    <w:rsid w:val="00593857"/>
    <w:rsid w:val="00595A45"/>
    <w:rsid w:val="005963A2"/>
    <w:rsid w:val="005A1E16"/>
    <w:rsid w:val="005A2008"/>
    <w:rsid w:val="005A2942"/>
    <w:rsid w:val="005A4C30"/>
    <w:rsid w:val="005A52CF"/>
    <w:rsid w:val="005A6840"/>
    <w:rsid w:val="005A7570"/>
    <w:rsid w:val="005A7BD5"/>
    <w:rsid w:val="005B0316"/>
    <w:rsid w:val="005B11E9"/>
    <w:rsid w:val="005B1619"/>
    <w:rsid w:val="005B4B71"/>
    <w:rsid w:val="005B4FAB"/>
    <w:rsid w:val="005B5F58"/>
    <w:rsid w:val="005B7153"/>
    <w:rsid w:val="005B78CF"/>
    <w:rsid w:val="005C0695"/>
    <w:rsid w:val="005C26BF"/>
    <w:rsid w:val="005C5019"/>
    <w:rsid w:val="005C6910"/>
    <w:rsid w:val="005C6EF0"/>
    <w:rsid w:val="005D1508"/>
    <w:rsid w:val="005D3124"/>
    <w:rsid w:val="005D3DF6"/>
    <w:rsid w:val="005D52FC"/>
    <w:rsid w:val="005D6291"/>
    <w:rsid w:val="005D66BD"/>
    <w:rsid w:val="005D6C71"/>
    <w:rsid w:val="005D7668"/>
    <w:rsid w:val="005E06C2"/>
    <w:rsid w:val="005E08B6"/>
    <w:rsid w:val="005E401D"/>
    <w:rsid w:val="005E57BC"/>
    <w:rsid w:val="005E58BC"/>
    <w:rsid w:val="005E5C10"/>
    <w:rsid w:val="005E621F"/>
    <w:rsid w:val="005E66A2"/>
    <w:rsid w:val="005F1500"/>
    <w:rsid w:val="005F16E7"/>
    <w:rsid w:val="005F280F"/>
    <w:rsid w:val="005F2A2F"/>
    <w:rsid w:val="005F2AE6"/>
    <w:rsid w:val="005F2FC3"/>
    <w:rsid w:val="005F4090"/>
    <w:rsid w:val="005F4332"/>
    <w:rsid w:val="005F527B"/>
    <w:rsid w:val="005F6005"/>
    <w:rsid w:val="005F6A2D"/>
    <w:rsid w:val="005F6A5E"/>
    <w:rsid w:val="005F6D27"/>
    <w:rsid w:val="00601AF3"/>
    <w:rsid w:val="00601E82"/>
    <w:rsid w:val="006034A0"/>
    <w:rsid w:val="00604463"/>
    <w:rsid w:val="00604A36"/>
    <w:rsid w:val="00606979"/>
    <w:rsid w:val="00606B01"/>
    <w:rsid w:val="0061147A"/>
    <w:rsid w:val="006119F7"/>
    <w:rsid w:val="0061262D"/>
    <w:rsid w:val="006129C4"/>
    <w:rsid w:val="0061475A"/>
    <w:rsid w:val="006147FD"/>
    <w:rsid w:val="00614FDB"/>
    <w:rsid w:val="00615099"/>
    <w:rsid w:val="0061517A"/>
    <w:rsid w:val="00617685"/>
    <w:rsid w:val="00620EC6"/>
    <w:rsid w:val="006212B3"/>
    <w:rsid w:val="006220C2"/>
    <w:rsid w:val="00623318"/>
    <w:rsid w:val="0062332F"/>
    <w:rsid w:val="0062561B"/>
    <w:rsid w:val="00626642"/>
    <w:rsid w:val="006330D4"/>
    <w:rsid w:val="00633B0D"/>
    <w:rsid w:val="00633ECC"/>
    <w:rsid w:val="006341C5"/>
    <w:rsid w:val="00634276"/>
    <w:rsid w:val="00634D0E"/>
    <w:rsid w:val="00636F5C"/>
    <w:rsid w:val="006370F1"/>
    <w:rsid w:val="00637CE1"/>
    <w:rsid w:val="006406D7"/>
    <w:rsid w:val="00642150"/>
    <w:rsid w:val="00642EBE"/>
    <w:rsid w:val="00644AA4"/>
    <w:rsid w:val="006461FD"/>
    <w:rsid w:val="00646233"/>
    <w:rsid w:val="00651E55"/>
    <w:rsid w:val="00652E61"/>
    <w:rsid w:val="00654AAD"/>
    <w:rsid w:val="00656953"/>
    <w:rsid w:val="00657217"/>
    <w:rsid w:val="0065764F"/>
    <w:rsid w:val="006603A2"/>
    <w:rsid w:val="00660B86"/>
    <w:rsid w:val="00661BC6"/>
    <w:rsid w:val="00662626"/>
    <w:rsid w:val="00663A6C"/>
    <w:rsid w:val="0066548B"/>
    <w:rsid w:val="00667F45"/>
    <w:rsid w:val="0067012D"/>
    <w:rsid w:val="00670AA4"/>
    <w:rsid w:val="00672298"/>
    <w:rsid w:val="00672654"/>
    <w:rsid w:val="006743EA"/>
    <w:rsid w:val="006754B5"/>
    <w:rsid w:val="00676AB7"/>
    <w:rsid w:val="006809D9"/>
    <w:rsid w:val="00680E90"/>
    <w:rsid w:val="00680F18"/>
    <w:rsid w:val="00681578"/>
    <w:rsid w:val="0068328E"/>
    <w:rsid w:val="00685561"/>
    <w:rsid w:val="00685A3B"/>
    <w:rsid w:val="00686132"/>
    <w:rsid w:val="006901D7"/>
    <w:rsid w:val="00690F5F"/>
    <w:rsid w:val="006913F9"/>
    <w:rsid w:val="00691D18"/>
    <w:rsid w:val="006931F4"/>
    <w:rsid w:val="00693422"/>
    <w:rsid w:val="006977AA"/>
    <w:rsid w:val="006A00E2"/>
    <w:rsid w:val="006A0C5D"/>
    <w:rsid w:val="006A10AC"/>
    <w:rsid w:val="006A1687"/>
    <w:rsid w:val="006A174D"/>
    <w:rsid w:val="006A3FEC"/>
    <w:rsid w:val="006A603B"/>
    <w:rsid w:val="006A6771"/>
    <w:rsid w:val="006A7824"/>
    <w:rsid w:val="006B1F23"/>
    <w:rsid w:val="006B2028"/>
    <w:rsid w:val="006B2976"/>
    <w:rsid w:val="006B32BB"/>
    <w:rsid w:val="006B343D"/>
    <w:rsid w:val="006B3CD2"/>
    <w:rsid w:val="006B485E"/>
    <w:rsid w:val="006B4AA4"/>
    <w:rsid w:val="006B5456"/>
    <w:rsid w:val="006B6D8A"/>
    <w:rsid w:val="006B7976"/>
    <w:rsid w:val="006C2519"/>
    <w:rsid w:val="006C3F96"/>
    <w:rsid w:val="006C54A6"/>
    <w:rsid w:val="006C57C0"/>
    <w:rsid w:val="006C6A1E"/>
    <w:rsid w:val="006C7D37"/>
    <w:rsid w:val="006D2417"/>
    <w:rsid w:val="006D327F"/>
    <w:rsid w:val="006D343E"/>
    <w:rsid w:val="006D525E"/>
    <w:rsid w:val="006D77BD"/>
    <w:rsid w:val="006D7F7A"/>
    <w:rsid w:val="006E05FF"/>
    <w:rsid w:val="006E2191"/>
    <w:rsid w:val="006E260F"/>
    <w:rsid w:val="006E2B51"/>
    <w:rsid w:val="006E588D"/>
    <w:rsid w:val="006E5993"/>
    <w:rsid w:val="006F0145"/>
    <w:rsid w:val="006F1A1E"/>
    <w:rsid w:val="006F2067"/>
    <w:rsid w:val="006F285A"/>
    <w:rsid w:val="006F35CB"/>
    <w:rsid w:val="006F38A1"/>
    <w:rsid w:val="006F438A"/>
    <w:rsid w:val="006F48AC"/>
    <w:rsid w:val="006F599C"/>
    <w:rsid w:val="006F65B7"/>
    <w:rsid w:val="00700224"/>
    <w:rsid w:val="00701848"/>
    <w:rsid w:val="00702736"/>
    <w:rsid w:val="007033DB"/>
    <w:rsid w:val="007057B6"/>
    <w:rsid w:val="007057C3"/>
    <w:rsid w:val="00706573"/>
    <w:rsid w:val="00710ECE"/>
    <w:rsid w:val="00711110"/>
    <w:rsid w:val="007112BB"/>
    <w:rsid w:val="00711CFD"/>
    <w:rsid w:val="00712075"/>
    <w:rsid w:val="007126D9"/>
    <w:rsid w:val="0071434D"/>
    <w:rsid w:val="00715224"/>
    <w:rsid w:val="00715CD5"/>
    <w:rsid w:val="007211D7"/>
    <w:rsid w:val="007218F9"/>
    <w:rsid w:val="0072288F"/>
    <w:rsid w:val="00724702"/>
    <w:rsid w:val="00730203"/>
    <w:rsid w:val="00731F57"/>
    <w:rsid w:val="00732CC6"/>
    <w:rsid w:val="00732D50"/>
    <w:rsid w:val="0073382E"/>
    <w:rsid w:val="00736F6E"/>
    <w:rsid w:val="00737154"/>
    <w:rsid w:val="00740F47"/>
    <w:rsid w:val="00745377"/>
    <w:rsid w:val="00747780"/>
    <w:rsid w:val="00752A18"/>
    <w:rsid w:val="00753952"/>
    <w:rsid w:val="0075442B"/>
    <w:rsid w:val="00757655"/>
    <w:rsid w:val="00757CE2"/>
    <w:rsid w:val="00762C01"/>
    <w:rsid w:val="007643F4"/>
    <w:rsid w:val="00766CDD"/>
    <w:rsid w:val="0076790F"/>
    <w:rsid w:val="00773E73"/>
    <w:rsid w:val="0077504A"/>
    <w:rsid w:val="007750B1"/>
    <w:rsid w:val="00775182"/>
    <w:rsid w:val="0077577F"/>
    <w:rsid w:val="00776180"/>
    <w:rsid w:val="00777706"/>
    <w:rsid w:val="00777CE0"/>
    <w:rsid w:val="007807BC"/>
    <w:rsid w:val="00780A2A"/>
    <w:rsid w:val="00781B57"/>
    <w:rsid w:val="0078339E"/>
    <w:rsid w:val="00784376"/>
    <w:rsid w:val="00784F36"/>
    <w:rsid w:val="007861A4"/>
    <w:rsid w:val="007875F7"/>
    <w:rsid w:val="00791358"/>
    <w:rsid w:val="007927CF"/>
    <w:rsid w:val="0079340C"/>
    <w:rsid w:val="00794E6A"/>
    <w:rsid w:val="00795458"/>
    <w:rsid w:val="00795AC1"/>
    <w:rsid w:val="00795C94"/>
    <w:rsid w:val="0079638B"/>
    <w:rsid w:val="00796806"/>
    <w:rsid w:val="007A11CC"/>
    <w:rsid w:val="007A1825"/>
    <w:rsid w:val="007A2A1A"/>
    <w:rsid w:val="007A2B39"/>
    <w:rsid w:val="007A2B5B"/>
    <w:rsid w:val="007A2BD9"/>
    <w:rsid w:val="007A3E96"/>
    <w:rsid w:val="007A5396"/>
    <w:rsid w:val="007A5B59"/>
    <w:rsid w:val="007A64C0"/>
    <w:rsid w:val="007A7569"/>
    <w:rsid w:val="007B1A92"/>
    <w:rsid w:val="007B1FF1"/>
    <w:rsid w:val="007B2416"/>
    <w:rsid w:val="007B2C35"/>
    <w:rsid w:val="007B46C4"/>
    <w:rsid w:val="007B4AC0"/>
    <w:rsid w:val="007B506F"/>
    <w:rsid w:val="007C1923"/>
    <w:rsid w:val="007C1BA9"/>
    <w:rsid w:val="007C1E8A"/>
    <w:rsid w:val="007C2406"/>
    <w:rsid w:val="007C2BAE"/>
    <w:rsid w:val="007C3FFA"/>
    <w:rsid w:val="007C6612"/>
    <w:rsid w:val="007C6BAD"/>
    <w:rsid w:val="007C7086"/>
    <w:rsid w:val="007C74EF"/>
    <w:rsid w:val="007C753F"/>
    <w:rsid w:val="007D2C0F"/>
    <w:rsid w:val="007D325D"/>
    <w:rsid w:val="007D3A08"/>
    <w:rsid w:val="007D3C2C"/>
    <w:rsid w:val="007D484A"/>
    <w:rsid w:val="007D5306"/>
    <w:rsid w:val="007D598D"/>
    <w:rsid w:val="007D77B3"/>
    <w:rsid w:val="007D7D97"/>
    <w:rsid w:val="007D7E38"/>
    <w:rsid w:val="007E02D3"/>
    <w:rsid w:val="007E256A"/>
    <w:rsid w:val="007E53E0"/>
    <w:rsid w:val="007E5D5C"/>
    <w:rsid w:val="007E5F18"/>
    <w:rsid w:val="007F605C"/>
    <w:rsid w:val="008001C5"/>
    <w:rsid w:val="00800539"/>
    <w:rsid w:val="00801F63"/>
    <w:rsid w:val="00805085"/>
    <w:rsid w:val="008055E1"/>
    <w:rsid w:val="00807916"/>
    <w:rsid w:val="00810B12"/>
    <w:rsid w:val="00814652"/>
    <w:rsid w:val="008153DD"/>
    <w:rsid w:val="00815440"/>
    <w:rsid w:val="008154A9"/>
    <w:rsid w:val="00815A18"/>
    <w:rsid w:val="0081616C"/>
    <w:rsid w:val="008175BD"/>
    <w:rsid w:val="008175EB"/>
    <w:rsid w:val="00817A5A"/>
    <w:rsid w:val="0082038B"/>
    <w:rsid w:val="008246FA"/>
    <w:rsid w:val="00826769"/>
    <w:rsid w:val="00826CB2"/>
    <w:rsid w:val="0082709F"/>
    <w:rsid w:val="00827134"/>
    <w:rsid w:val="00827DEB"/>
    <w:rsid w:val="008311E5"/>
    <w:rsid w:val="00832590"/>
    <w:rsid w:val="0083261E"/>
    <w:rsid w:val="00832D1A"/>
    <w:rsid w:val="00832F97"/>
    <w:rsid w:val="0083501E"/>
    <w:rsid w:val="00835892"/>
    <w:rsid w:val="00835E5A"/>
    <w:rsid w:val="00836800"/>
    <w:rsid w:val="00837456"/>
    <w:rsid w:val="00837D24"/>
    <w:rsid w:val="00841F8D"/>
    <w:rsid w:val="008439A5"/>
    <w:rsid w:val="00843B92"/>
    <w:rsid w:val="00844619"/>
    <w:rsid w:val="00845448"/>
    <w:rsid w:val="00846A9C"/>
    <w:rsid w:val="00846C07"/>
    <w:rsid w:val="00846EAF"/>
    <w:rsid w:val="00847E9E"/>
    <w:rsid w:val="00847F01"/>
    <w:rsid w:val="008520AC"/>
    <w:rsid w:val="0085571F"/>
    <w:rsid w:val="00856258"/>
    <w:rsid w:val="0085722F"/>
    <w:rsid w:val="00860377"/>
    <w:rsid w:val="0086040F"/>
    <w:rsid w:val="00862907"/>
    <w:rsid w:val="00863590"/>
    <w:rsid w:val="00863637"/>
    <w:rsid w:val="00864D51"/>
    <w:rsid w:val="008655CD"/>
    <w:rsid w:val="008658B3"/>
    <w:rsid w:val="00865CF3"/>
    <w:rsid w:val="00866FE9"/>
    <w:rsid w:val="008674DA"/>
    <w:rsid w:val="0087014F"/>
    <w:rsid w:val="00870242"/>
    <w:rsid w:val="00872AD0"/>
    <w:rsid w:val="00874FA6"/>
    <w:rsid w:val="00876168"/>
    <w:rsid w:val="00876C34"/>
    <w:rsid w:val="00880665"/>
    <w:rsid w:val="00880B41"/>
    <w:rsid w:val="00880D43"/>
    <w:rsid w:val="00881934"/>
    <w:rsid w:val="00882908"/>
    <w:rsid w:val="0088491D"/>
    <w:rsid w:val="00885565"/>
    <w:rsid w:val="0088608A"/>
    <w:rsid w:val="00886CBF"/>
    <w:rsid w:val="008930CB"/>
    <w:rsid w:val="008930EE"/>
    <w:rsid w:val="00894045"/>
    <w:rsid w:val="008947CA"/>
    <w:rsid w:val="0089556C"/>
    <w:rsid w:val="008961EA"/>
    <w:rsid w:val="00896820"/>
    <w:rsid w:val="00897D52"/>
    <w:rsid w:val="00897E14"/>
    <w:rsid w:val="008A362B"/>
    <w:rsid w:val="008A371F"/>
    <w:rsid w:val="008A3935"/>
    <w:rsid w:val="008A48EB"/>
    <w:rsid w:val="008A50F4"/>
    <w:rsid w:val="008A518F"/>
    <w:rsid w:val="008A64E1"/>
    <w:rsid w:val="008A6EBE"/>
    <w:rsid w:val="008A7411"/>
    <w:rsid w:val="008A7FC5"/>
    <w:rsid w:val="008B1ECB"/>
    <w:rsid w:val="008B2BF3"/>
    <w:rsid w:val="008B789C"/>
    <w:rsid w:val="008C44DF"/>
    <w:rsid w:val="008C4971"/>
    <w:rsid w:val="008C591D"/>
    <w:rsid w:val="008D12BF"/>
    <w:rsid w:val="008D20C6"/>
    <w:rsid w:val="008D2EB7"/>
    <w:rsid w:val="008D485D"/>
    <w:rsid w:val="008D4A74"/>
    <w:rsid w:val="008D6368"/>
    <w:rsid w:val="008D66D8"/>
    <w:rsid w:val="008D7083"/>
    <w:rsid w:val="008D73AD"/>
    <w:rsid w:val="008E0CD6"/>
    <w:rsid w:val="008E2028"/>
    <w:rsid w:val="008E3EE6"/>
    <w:rsid w:val="008E4387"/>
    <w:rsid w:val="008E4E84"/>
    <w:rsid w:val="008E74DF"/>
    <w:rsid w:val="008F034A"/>
    <w:rsid w:val="008F09D0"/>
    <w:rsid w:val="008F0D4B"/>
    <w:rsid w:val="008F1584"/>
    <w:rsid w:val="008F17A6"/>
    <w:rsid w:val="008F1F53"/>
    <w:rsid w:val="008F26EA"/>
    <w:rsid w:val="008F33D1"/>
    <w:rsid w:val="008F3A5C"/>
    <w:rsid w:val="008F4E66"/>
    <w:rsid w:val="008F70D4"/>
    <w:rsid w:val="008F74DC"/>
    <w:rsid w:val="0090319C"/>
    <w:rsid w:val="00904B36"/>
    <w:rsid w:val="00905628"/>
    <w:rsid w:val="0091025A"/>
    <w:rsid w:val="0091245A"/>
    <w:rsid w:val="0091760A"/>
    <w:rsid w:val="009230EA"/>
    <w:rsid w:val="0092318E"/>
    <w:rsid w:val="00923298"/>
    <w:rsid w:val="00923B4C"/>
    <w:rsid w:val="00923F21"/>
    <w:rsid w:val="0092520A"/>
    <w:rsid w:val="00925538"/>
    <w:rsid w:val="00930BDD"/>
    <w:rsid w:val="00932808"/>
    <w:rsid w:val="00934628"/>
    <w:rsid w:val="00934B4E"/>
    <w:rsid w:val="009351F0"/>
    <w:rsid w:val="00935401"/>
    <w:rsid w:val="00935EBF"/>
    <w:rsid w:val="009373AE"/>
    <w:rsid w:val="009412CB"/>
    <w:rsid w:val="009429B1"/>
    <w:rsid w:val="00944372"/>
    <w:rsid w:val="009456AD"/>
    <w:rsid w:val="00946E03"/>
    <w:rsid w:val="00952389"/>
    <w:rsid w:val="0095343A"/>
    <w:rsid w:val="00956ADD"/>
    <w:rsid w:val="00957199"/>
    <w:rsid w:val="00957A95"/>
    <w:rsid w:val="00961C8D"/>
    <w:rsid w:val="00962686"/>
    <w:rsid w:val="009629F2"/>
    <w:rsid w:val="009639A0"/>
    <w:rsid w:val="00964D62"/>
    <w:rsid w:val="009664B7"/>
    <w:rsid w:val="00974CF9"/>
    <w:rsid w:val="00975388"/>
    <w:rsid w:val="00975D66"/>
    <w:rsid w:val="00982467"/>
    <w:rsid w:val="009828D3"/>
    <w:rsid w:val="00984310"/>
    <w:rsid w:val="009843BF"/>
    <w:rsid w:val="00984F1B"/>
    <w:rsid w:val="00985AF8"/>
    <w:rsid w:val="00985E38"/>
    <w:rsid w:val="0098730B"/>
    <w:rsid w:val="00987C5D"/>
    <w:rsid w:val="00991540"/>
    <w:rsid w:val="009919D8"/>
    <w:rsid w:val="00991D77"/>
    <w:rsid w:val="00993444"/>
    <w:rsid w:val="009950CE"/>
    <w:rsid w:val="00995424"/>
    <w:rsid w:val="00995AA4"/>
    <w:rsid w:val="009962A0"/>
    <w:rsid w:val="00997343"/>
    <w:rsid w:val="009A0D41"/>
    <w:rsid w:val="009A2894"/>
    <w:rsid w:val="009A2AA7"/>
    <w:rsid w:val="009A3C8E"/>
    <w:rsid w:val="009A578D"/>
    <w:rsid w:val="009A65D1"/>
    <w:rsid w:val="009A6876"/>
    <w:rsid w:val="009B06C9"/>
    <w:rsid w:val="009B1B90"/>
    <w:rsid w:val="009B2A61"/>
    <w:rsid w:val="009B2B47"/>
    <w:rsid w:val="009B7142"/>
    <w:rsid w:val="009B73C7"/>
    <w:rsid w:val="009C0A23"/>
    <w:rsid w:val="009C20C3"/>
    <w:rsid w:val="009C29CE"/>
    <w:rsid w:val="009C4F88"/>
    <w:rsid w:val="009C67F9"/>
    <w:rsid w:val="009C7A1C"/>
    <w:rsid w:val="009C7E89"/>
    <w:rsid w:val="009D0078"/>
    <w:rsid w:val="009D0CF6"/>
    <w:rsid w:val="009D1420"/>
    <w:rsid w:val="009D4037"/>
    <w:rsid w:val="009D490B"/>
    <w:rsid w:val="009D4D46"/>
    <w:rsid w:val="009D588E"/>
    <w:rsid w:val="009D61C7"/>
    <w:rsid w:val="009D634D"/>
    <w:rsid w:val="009D6AD6"/>
    <w:rsid w:val="009D774A"/>
    <w:rsid w:val="009D7904"/>
    <w:rsid w:val="009E1BEB"/>
    <w:rsid w:val="009E3D43"/>
    <w:rsid w:val="009E4260"/>
    <w:rsid w:val="009E524C"/>
    <w:rsid w:val="009E6AE1"/>
    <w:rsid w:val="009E6E08"/>
    <w:rsid w:val="009E7E77"/>
    <w:rsid w:val="009F085A"/>
    <w:rsid w:val="009F08C2"/>
    <w:rsid w:val="009F1624"/>
    <w:rsid w:val="009F2384"/>
    <w:rsid w:val="009F2F4F"/>
    <w:rsid w:val="009F2FB0"/>
    <w:rsid w:val="009F3D35"/>
    <w:rsid w:val="009F5027"/>
    <w:rsid w:val="009F58E9"/>
    <w:rsid w:val="009F641A"/>
    <w:rsid w:val="009F7BCA"/>
    <w:rsid w:val="00A026C2"/>
    <w:rsid w:val="00A02748"/>
    <w:rsid w:val="00A02767"/>
    <w:rsid w:val="00A02B32"/>
    <w:rsid w:val="00A02C2C"/>
    <w:rsid w:val="00A05EE7"/>
    <w:rsid w:val="00A11E5B"/>
    <w:rsid w:val="00A1285B"/>
    <w:rsid w:val="00A1293B"/>
    <w:rsid w:val="00A153EF"/>
    <w:rsid w:val="00A16A47"/>
    <w:rsid w:val="00A20849"/>
    <w:rsid w:val="00A21347"/>
    <w:rsid w:val="00A27325"/>
    <w:rsid w:val="00A30E06"/>
    <w:rsid w:val="00A30FF9"/>
    <w:rsid w:val="00A316D4"/>
    <w:rsid w:val="00A3230C"/>
    <w:rsid w:val="00A325B8"/>
    <w:rsid w:val="00A32A22"/>
    <w:rsid w:val="00A32F38"/>
    <w:rsid w:val="00A33831"/>
    <w:rsid w:val="00A34511"/>
    <w:rsid w:val="00A375D1"/>
    <w:rsid w:val="00A37A15"/>
    <w:rsid w:val="00A407DA"/>
    <w:rsid w:val="00A413A5"/>
    <w:rsid w:val="00A4166D"/>
    <w:rsid w:val="00A42619"/>
    <w:rsid w:val="00A427B1"/>
    <w:rsid w:val="00A434EC"/>
    <w:rsid w:val="00A440CB"/>
    <w:rsid w:val="00A449F7"/>
    <w:rsid w:val="00A44BBE"/>
    <w:rsid w:val="00A45A51"/>
    <w:rsid w:val="00A46A08"/>
    <w:rsid w:val="00A473EF"/>
    <w:rsid w:val="00A51B91"/>
    <w:rsid w:val="00A5430B"/>
    <w:rsid w:val="00A5456F"/>
    <w:rsid w:val="00A54A6D"/>
    <w:rsid w:val="00A55838"/>
    <w:rsid w:val="00A55CDE"/>
    <w:rsid w:val="00A56181"/>
    <w:rsid w:val="00A56741"/>
    <w:rsid w:val="00A57462"/>
    <w:rsid w:val="00A5791B"/>
    <w:rsid w:val="00A57C4E"/>
    <w:rsid w:val="00A6019B"/>
    <w:rsid w:val="00A62AE2"/>
    <w:rsid w:val="00A62CB8"/>
    <w:rsid w:val="00A62CCD"/>
    <w:rsid w:val="00A630A6"/>
    <w:rsid w:val="00A667C8"/>
    <w:rsid w:val="00A719F5"/>
    <w:rsid w:val="00A74C18"/>
    <w:rsid w:val="00A752E8"/>
    <w:rsid w:val="00A75751"/>
    <w:rsid w:val="00A80216"/>
    <w:rsid w:val="00A802C1"/>
    <w:rsid w:val="00A818C3"/>
    <w:rsid w:val="00A84566"/>
    <w:rsid w:val="00A878B3"/>
    <w:rsid w:val="00A903D0"/>
    <w:rsid w:val="00A90743"/>
    <w:rsid w:val="00A926A8"/>
    <w:rsid w:val="00A93D30"/>
    <w:rsid w:val="00A95C1D"/>
    <w:rsid w:val="00A97FC3"/>
    <w:rsid w:val="00AA0AE3"/>
    <w:rsid w:val="00AA3CBA"/>
    <w:rsid w:val="00AA4CF6"/>
    <w:rsid w:val="00AA534B"/>
    <w:rsid w:val="00AA5B6B"/>
    <w:rsid w:val="00AA6E46"/>
    <w:rsid w:val="00AB1A20"/>
    <w:rsid w:val="00AB6E24"/>
    <w:rsid w:val="00AB6E46"/>
    <w:rsid w:val="00AB74E6"/>
    <w:rsid w:val="00AB77EB"/>
    <w:rsid w:val="00AC15D7"/>
    <w:rsid w:val="00AC28A6"/>
    <w:rsid w:val="00AC2D9E"/>
    <w:rsid w:val="00AC49EA"/>
    <w:rsid w:val="00AC6C91"/>
    <w:rsid w:val="00AC70AD"/>
    <w:rsid w:val="00AC7965"/>
    <w:rsid w:val="00AD1EB4"/>
    <w:rsid w:val="00AD21BA"/>
    <w:rsid w:val="00AD4A91"/>
    <w:rsid w:val="00AD4E74"/>
    <w:rsid w:val="00AD7000"/>
    <w:rsid w:val="00AD70A3"/>
    <w:rsid w:val="00AD7118"/>
    <w:rsid w:val="00AD7397"/>
    <w:rsid w:val="00AE380E"/>
    <w:rsid w:val="00AE3D33"/>
    <w:rsid w:val="00AE3DF7"/>
    <w:rsid w:val="00AE4775"/>
    <w:rsid w:val="00AE64EC"/>
    <w:rsid w:val="00AE7325"/>
    <w:rsid w:val="00AE7B4D"/>
    <w:rsid w:val="00AF074B"/>
    <w:rsid w:val="00AF12AD"/>
    <w:rsid w:val="00AF1B6B"/>
    <w:rsid w:val="00AF25F2"/>
    <w:rsid w:val="00AF3207"/>
    <w:rsid w:val="00AF4578"/>
    <w:rsid w:val="00AF5A92"/>
    <w:rsid w:val="00AF743C"/>
    <w:rsid w:val="00B002CA"/>
    <w:rsid w:val="00B042E9"/>
    <w:rsid w:val="00B0566E"/>
    <w:rsid w:val="00B063A6"/>
    <w:rsid w:val="00B06DAD"/>
    <w:rsid w:val="00B11B55"/>
    <w:rsid w:val="00B15CCF"/>
    <w:rsid w:val="00B1706A"/>
    <w:rsid w:val="00B17C7B"/>
    <w:rsid w:val="00B212F6"/>
    <w:rsid w:val="00B21756"/>
    <w:rsid w:val="00B21EF3"/>
    <w:rsid w:val="00B24A47"/>
    <w:rsid w:val="00B25188"/>
    <w:rsid w:val="00B264AF"/>
    <w:rsid w:val="00B27310"/>
    <w:rsid w:val="00B325C7"/>
    <w:rsid w:val="00B332B4"/>
    <w:rsid w:val="00B361EF"/>
    <w:rsid w:val="00B367F3"/>
    <w:rsid w:val="00B4026F"/>
    <w:rsid w:val="00B4430E"/>
    <w:rsid w:val="00B454E9"/>
    <w:rsid w:val="00B462E5"/>
    <w:rsid w:val="00B4667E"/>
    <w:rsid w:val="00B46E44"/>
    <w:rsid w:val="00B47C9A"/>
    <w:rsid w:val="00B52747"/>
    <w:rsid w:val="00B52F7F"/>
    <w:rsid w:val="00B53700"/>
    <w:rsid w:val="00B537C5"/>
    <w:rsid w:val="00B5419F"/>
    <w:rsid w:val="00B60B2C"/>
    <w:rsid w:val="00B61109"/>
    <w:rsid w:val="00B61742"/>
    <w:rsid w:val="00B647D7"/>
    <w:rsid w:val="00B64D30"/>
    <w:rsid w:val="00B667D4"/>
    <w:rsid w:val="00B71B1A"/>
    <w:rsid w:val="00B72039"/>
    <w:rsid w:val="00B74F1D"/>
    <w:rsid w:val="00B7578B"/>
    <w:rsid w:val="00B75D1D"/>
    <w:rsid w:val="00B75D3A"/>
    <w:rsid w:val="00B76A75"/>
    <w:rsid w:val="00B77370"/>
    <w:rsid w:val="00B80069"/>
    <w:rsid w:val="00B806A5"/>
    <w:rsid w:val="00B811EF"/>
    <w:rsid w:val="00B83B63"/>
    <w:rsid w:val="00B84445"/>
    <w:rsid w:val="00B847CB"/>
    <w:rsid w:val="00B84862"/>
    <w:rsid w:val="00B848DA"/>
    <w:rsid w:val="00B84BFD"/>
    <w:rsid w:val="00B85FF8"/>
    <w:rsid w:val="00B869AB"/>
    <w:rsid w:val="00B9030E"/>
    <w:rsid w:val="00B906AF"/>
    <w:rsid w:val="00B90EF7"/>
    <w:rsid w:val="00B93126"/>
    <w:rsid w:val="00B93C81"/>
    <w:rsid w:val="00B941B5"/>
    <w:rsid w:val="00B9423E"/>
    <w:rsid w:val="00B94F19"/>
    <w:rsid w:val="00B9581F"/>
    <w:rsid w:val="00B9607C"/>
    <w:rsid w:val="00B97013"/>
    <w:rsid w:val="00B976B6"/>
    <w:rsid w:val="00BA2B93"/>
    <w:rsid w:val="00BA370E"/>
    <w:rsid w:val="00BA58CF"/>
    <w:rsid w:val="00BA5FD1"/>
    <w:rsid w:val="00BB0C09"/>
    <w:rsid w:val="00BB1998"/>
    <w:rsid w:val="00BB2FEF"/>
    <w:rsid w:val="00BB4505"/>
    <w:rsid w:val="00BB4A5E"/>
    <w:rsid w:val="00BB54E8"/>
    <w:rsid w:val="00BB7200"/>
    <w:rsid w:val="00BB7A14"/>
    <w:rsid w:val="00BC04E0"/>
    <w:rsid w:val="00BC091F"/>
    <w:rsid w:val="00BC0D68"/>
    <w:rsid w:val="00BC3FD4"/>
    <w:rsid w:val="00BC43BC"/>
    <w:rsid w:val="00BC4FC1"/>
    <w:rsid w:val="00BC57FC"/>
    <w:rsid w:val="00BC5C6F"/>
    <w:rsid w:val="00BC66B7"/>
    <w:rsid w:val="00BC695F"/>
    <w:rsid w:val="00BC704F"/>
    <w:rsid w:val="00BD0A1D"/>
    <w:rsid w:val="00BD148C"/>
    <w:rsid w:val="00BD1565"/>
    <w:rsid w:val="00BD3294"/>
    <w:rsid w:val="00BD451E"/>
    <w:rsid w:val="00BD4715"/>
    <w:rsid w:val="00BD68C1"/>
    <w:rsid w:val="00BD6B79"/>
    <w:rsid w:val="00BD78B7"/>
    <w:rsid w:val="00BE02D4"/>
    <w:rsid w:val="00BE21C0"/>
    <w:rsid w:val="00BE2F47"/>
    <w:rsid w:val="00BE373A"/>
    <w:rsid w:val="00BE572E"/>
    <w:rsid w:val="00BE5EF9"/>
    <w:rsid w:val="00BE752B"/>
    <w:rsid w:val="00BF0623"/>
    <w:rsid w:val="00BF4E79"/>
    <w:rsid w:val="00BF638C"/>
    <w:rsid w:val="00BF641A"/>
    <w:rsid w:val="00BF790D"/>
    <w:rsid w:val="00BF79C5"/>
    <w:rsid w:val="00C01886"/>
    <w:rsid w:val="00C019F7"/>
    <w:rsid w:val="00C02A1B"/>
    <w:rsid w:val="00C02CC8"/>
    <w:rsid w:val="00C03630"/>
    <w:rsid w:val="00C04897"/>
    <w:rsid w:val="00C04DAF"/>
    <w:rsid w:val="00C05C09"/>
    <w:rsid w:val="00C061B2"/>
    <w:rsid w:val="00C06571"/>
    <w:rsid w:val="00C06CBC"/>
    <w:rsid w:val="00C07946"/>
    <w:rsid w:val="00C07E68"/>
    <w:rsid w:val="00C07EEF"/>
    <w:rsid w:val="00C10197"/>
    <w:rsid w:val="00C1171B"/>
    <w:rsid w:val="00C1182C"/>
    <w:rsid w:val="00C12400"/>
    <w:rsid w:val="00C1439A"/>
    <w:rsid w:val="00C15298"/>
    <w:rsid w:val="00C163BB"/>
    <w:rsid w:val="00C17668"/>
    <w:rsid w:val="00C17E95"/>
    <w:rsid w:val="00C26F5B"/>
    <w:rsid w:val="00C35018"/>
    <w:rsid w:val="00C353F7"/>
    <w:rsid w:val="00C3608F"/>
    <w:rsid w:val="00C36D6A"/>
    <w:rsid w:val="00C40AFB"/>
    <w:rsid w:val="00C41C11"/>
    <w:rsid w:val="00C41ECF"/>
    <w:rsid w:val="00C41F0F"/>
    <w:rsid w:val="00C4431B"/>
    <w:rsid w:val="00C444AD"/>
    <w:rsid w:val="00C44970"/>
    <w:rsid w:val="00C46A0F"/>
    <w:rsid w:val="00C47715"/>
    <w:rsid w:val="00C47F26"/>
    <w:rsid w:val="00C50218"/>
    <w:rsid w:val="00C5029C"/>
    <w:rsid w:val="00C50483"/>
    <w:rsid w:val="00C50ED8"/>
    <w:rsid w:val="00C51B64"/>
    <w:rsid w:val="00C51BA7"/>
    <w:rsid w:val="00C53AF0"/>
    <w:rsid w:val="00C5441D"/>
    <w:rsid w:val="00C55E96"/>
    <w:rsid w:val="00C56790"/>
    <w:rsid w:val="00C60726"/>
    <w:rsid w:val="00C61B44"/>
    <w:rsid w:val="00C61DCD"/>
    <w:rsid w:val="00C71243"/>
    <w:rsid w:val="00C72ACD"/>
    <w:rsid w:val="00C747C3"/>
    <w:rsid w:val="00C753F2"/>
    <w:rsid w:val="00C7738F"/>
    <w:rsid w:val="00C77ECC"/>
    <w:rsid w:val="00C81264"/>
    <w:rsid w:val="00C816E2"/>
    <w:rsid w:val="00C8173F"/>
    <w:rsid w:val="00C85033"/>
    <w:rsid w:val="00C866C6"/>
    <w:rsid w:val="00C87DA3"/>
    <w:rsid w:val="00C87F3A"/>
    <w:rsid w:val="00C92240"/>
    <w:rsid w:val="00C9234F"/>
    <w:rsid w:val="00C93014"/>
    <w:rsid w:val="00C93E96"/>
    <w:rsid w:val="00C942EB"/>
    <w:rsid w:val="00C946D0"/>
    <w:rsid w:val="00C948F4"/>
    <w:rsid w:val="00C94F35"/>
    <w:rsid w:val="00C95316"/>
    <w:rsid w:val="00C95462"/>
    <w:rsid w:val="00C96110"/>
    <w:rsid w:val="00C967AC"/>
    <w:rsid w:val="00CA084B"/>
    <w:rsid w:val="00CA16D7"/>
    <w:rsid w:val="00CA1B2D"/>
    <w:rsid w:val="00CA3628"/>
    <w:rsid w:val="00CA3887"/>
    <w:rsid w:val="00CA3917"/>
    <w:rsid w:val="00CA39DA"/>
    <w:rsid w:val="00CA47AF"/>
    <w:rsid w:val="00CA5E2B"/>
    <w:rsid w:val="00CB007A"/>
    <w:rsid w:val="00CB0222"/>
    <w:rsid w:val="00CB09C7"/>
    <w:rsid w:val="00CB4369"/>
    <w:rsid w:val="00CB454C"/>
    <w:rsid w:val="00CB5781"/>
    <w:rsid w:val="00CB5D0B"/>
    <w:rsid w:val="00CB745A"/>
    <w:rsid w:val="00CB7BA8"/>
    <w:rsid w:val="00CB7F73"/>
    <w:rsid w:val="00CC0AFC"/>
    <w:rsid w:val="00CC0E91"/>
    <w:rsid w:val="00CC1A50"/>
    <w:rsid w:val="00CC41D4"/>
    <w:rsid w:val="00CC505B"/>
    <w:rsid w:val="00CC6F56"/>
    <w:rsid w:val="00CD0148"/>
    <w:rsid w:val="00CD0A1C"/>
    <w:rsid w:val="00CD0B17"/>
    <w:rsid w:val="00CD30D5"/>
    <w:rsid w:val="00CD52B9"/>
    <w:rsid w:val="00CE04F5"/>
    <w:rsid w:val="00CE0DA6"/>
    <w:rsid w:val="00CE2110"/>
    <w:rsid w:val="00CE235B"/>
    <w:rsid w:val="00CE28B4"/>
    <w:rsid w:val="00CE3DB6"/>
    <w:rsid w:val="00CE3F55"/>
    <w:rsid w:val="00CE456C"/>
    <w:rsid w:val="00CE4E6F"/>
    <w:rsid w:val="00CE54C2"/>
    <w:rsid w:val="00CE6EE7"/>
    <w:rsid w:val="00CF0DE3"/>
    <w:rsid w:val="00CF1641"/>
    <w:rsid w:val="00CF17D4"/>
    <w:rsid w:val="00CF1984"/>
    <w:rsid w:val="00CF21C7"/>
    <w:rsid w:val="00CF247F"/>
    <w:rsid w:val="00CF6078"/>
    <w:rsid w:val="00D02E31"/>
    <w:rsid w:val="00D03EB7"/>
    <w:rsid w:val="00D04EA4"/>
    <w:rsid w:val="00D06C97"/>
    <w:rsid w:val="00D073BB"/>
    <w:rsid w:val="00D105AB"/>
    <w:rsid w:val="00D10F7A"/>
    <w:rsid w:val="00D11008"/>
    <w:rsid w:val="00D121EF"/>
    <w:rsid w:val="00D12375"/>
    <w:rsid w:val="00D1328F"/>
    <w:rsid w:val="00D137C8"/>
    <w:rsid w:val="00D145EB"/>
    <w:rsid w:val="00D14C18"/>
    <w:rsid w:val="00D16588"/>
    <w:rsid w:val="00D1694A"/>
    <w:rsid w:val="00D21730"/>
    <w:rsid w:val="00D24BCC"/>
    <w:rsid w:val="00D2513F"/>
    <w:rsid w:val="00D25C11"/>
    <w:rsid w:val="00D319BB"/>
    <w:rsid w:val="00D32565"/>
    <w:rsid w:val="00D32F57"/>
    <w:rsid w:val="00D33BD0"/>
    <w:rsid w:val="00D3526D"/>
    <w:rsid w:val="00D3559F"/>
    <w:rsid w:val="00D358C1"/>
    <w:rsid w:val="00D40F12"/>
    <w:rsid w:val="00D42BC5"/>
    <w:rsid w:val="00D4549C"/>
    <w:rsid w:val="00D46209"/>
    <w:rsid w:val="00D46EA3"/>
    <w:rsid w:val="00D47DCA"/>
    <w:rsid w:val="00D50EA3"/>
    <w:rsid w:val="00D542F9"/>
    <w:rsid w:val="00D55143"/>
    <w:rsid w:val="00D55B92"/>
    <w:rsid w:val="00D55DF7"/>
    <w:rsid w:val="00D57EE1"/>
    <w:rsid w:val="00D60A69"/>
    <w:rsid w:val="00D614E6"/>
    <w:rsid w:val="00D61B7F"/>
    <w:rsid w:val="00D62324"/>
    <w:rsid w:val="00D638D1"/>
    <w:rsid w:val="00D63B0C"/>
    <w:rsid w:val="00D64224"/>
    <w:rsid w:val="00D644E9"/>
    <w:rsid w:val="00D64A36"/>
    <w:rsid w:val="00D70451"/>
    <w:rsid w:val="00D7059F"/>
    <w:rsid w:val="00D7282A"/>
    <w:rsid w:val="00D72B0B"/>
    <w:rsid w:val="00D72CDA"/>
    <w:rsid w:val="00D72D71"/>
    <w:rsid w:val="00D72EC7"/>
    <w:rsid w:val="00D735B3"/>
    <w:rsid w:val="00D740FB"/>
    <w:rsid w:val="00D75C0C"/>
    <w:rsid w:val="00D77248"/>
    <w:rsid w:val="00D80AC0"/>
    <w:rsid w:val="00D80D9C"/>
    <w:rsid w:val="00D813A2"/>
    <w:rsid w:val="00D83006"/>
    <w:rsid w:val="00D87D90"/>
    <w:rsid w:val="00D90775"/>
    <w:rsid w:val="00D90A79"/>
    <w:rsid w:val="00D91316"/>
    <w:rsid w:val="00D914A4"/>
    <w:rsid w:val="00D91765"/>
    <w:rsid w:val="00D93E92"/>
    <w:rsid w:val="00D9554E"/>
    <w:rsid w:val="00D95B35"/>
    <w:rsid w:val="00D962F8"/>
    <w:rsid w:val="00DA08D3"/>
    <w:rsid w:val="00DA3BAF"/>
    <w:rsid w:val="00DA405D"/>
    <w:rsid w:val="00DA42BE"/>
    <w:rsid w:val="00DA5C9E"/>
    <w:rsid w:val="00DA68BC"/>
    <w:rsid w:val="00DA7B35"/>
    <w:rsid w:val="00DB0240"/>
    <w:rsid w:val="00DB0AEB"/>
    <w:rsid w:val="00DB2A43"/>
    <w:rsid w:val="00DB2AE5"/>
    <w:rsid w:val="00DB315B"/>
    <w:rsid w:val="00DB52A0"/>
    <w:rsid w:val="00DC15B6"/>
    <w:rsid w:val="00DC21BE"/>
    <w:rsid w:val="00DC47B9"/>
    <w:rsid w:val="00DC564B"/>
    <w:rsid w:val="00DC6F60"/>
    <w:rsid w:val="00DC7448"/>
    <w:rsid w:val="00DC762F"/>
    <w:rsid w:val="00DC7710"/>
    <w:rsid w:val="00DD0800"/>
    <w:rsid w:val="00DD23EB"/>
    <w:rsid w:val="00DD2AC8"/>
    <w:rsid w:val="00DD4BB4"/>
    <w:rsid w:val="00DD653C"/>
    <w:rsid w:val="00DD658D"/>
    <w:rsid w:val="00DD7613"/>
    <w:rsid w:val="00DD7DD8"/>
    <w:rsid w:val="00DE0B83"/>
    <w:rsid w:val="00DE133C"/>
    <w:rsid w:val="00DE1448"/>
    <w:rsid w:val="00DE19E7"/>
    <w:rsid w:val="00DE50CE"/>
    <w:rsid w:val="00DE6237"/>
    <w:rsid w:val="00DE723C"/>
    <w:rsid w:val="00DE75B1"/>
    <w:rsid w:val="00DF2A5D"/>
    <w:rsid w:val="00DF5783"/>
    <w:rsid w:val="00DF6805"/>
    <w:rsid w:val="00DF6B3B"/>
    <w:rsid w:val="00DF75E9"/>
    <w:rsid w:val="00E00979"/>
    <w:rsid w:val="00E00BAB"/>
    <w:rsid w:val="00E017F9"/>
    <w:rsid w:val="00E01A4B"/>
    <w:rsid w:val="00E01F1C"/>
    <w:rsid w:val="00E042D0"/>
    <w:rsid w:val="00E0585A"/>
    <w:rsid w:val="00E0596C"/>
    <w:rsid w:val="00E05FB7"/>
    <w:rsid w:val="00E072A3"/>
    <w:rsid w:val="00E07C6C"/>
    <w:rsid w:val="00E112D8"/>
    <w:rsid w:val="00E117AF"/>
    <w:rsid w:val="00E13371"/>
    <w:rsid w:val="00E137FE"/>
    <w:rsid w:val="00E162D8"/>
    <w:rsid w:val="00E169E4"/>
    <w:rsid w:val="00E205FD"/>
    <w:rsid w:val="00E22026"/>
    <w:rsid w:val="00E22B15"/>
    <w:rsid w:val="00E2390B"/>
    <w:rsid w:val="00E2529F"/>
    <w:rsid w:val="00E2545F"/>
    <w:rsid w:val="00E3131F"/>
    <w:rsid w:val="00E322D3"/>
    <w:rsid w:val="00E323D6"/>
    <w:rsid w:val="00E32E69"/>
    <w:rsid w:val="00E357F0"/>
    <w:rsid w:val="00E35BA9"/>
    <w:rsid w:val="00E368AF"/>
    <w:rsid w:val="00E36E4F"/>
    <w:rsid w:val="00E37574"/>
    <w:rsid w:val="00E37D2D"/>
    <w:rsid w:val="00E37F35"/>
    <w:rsid w:val="00E408F3"/>
    <w:rsid w:val="00E41D18"/>
    <w:rsid w:val="00E42143"/>
    <w:rsid w:val="00E42C93"/>
    <w:rsid w:val="00E441F3"/>
    <w:rsid w:val="00E44834"/>
    <w:rsid w:val="00E457E0"/>
    <w:rsid w:val="00E45982"/>
    <w:rsid w:val="00E45A94"/>
    <w:rsid w:val="00E45DF0"/>
    <w:rsid w:val="00E46D2F"/>
    <w:rsid w:val="00E50200"/>
    <w:rsid w:val="00E50FE0"/>
    <w:rsid w:val="00E518A0"/>
    <w:rsid w:val="00E51C56"/>
    <w:rsid w:val="00E526B1"/>
    <w:rsid w:val="00E52907"/>
    <w:rsid w:val="00E52A17"/>
    <w:rsid w:val="00E52A8A"/>
    <w:rsid w:val="00E52D4B"/>
    <w:rsid w:val="00E53A33"/>
    <w:rsid w:val="00E572EB"/>
    <w:rsid w:val="00E57F22"/>
    <w:rsid w:val="00E600EC"/>
    <w:rsid w:val="00E61277"/>
    <w:rsid w:val="00E624E0"/>
    <w:rsid w:val="00E62BFA"/>
    <w:rsid w:val="00E63265"/>
    <w:rsid w:val="00E63761"/>
    <w:rsid w:val="00E63F04"/>
    <w:rsid w:val="00E6450A"/>
    <w:rsid w:val="00E6495F"/>
    <w:rsid w:val="00E64BE8"/>
    <w:rsid w:val="00E6626E"/>
    <w:rsid w:val="00E66929"/>
    <w:rsid w:val="00E704EB"/>
    <w:rsid w:val="00E7411F"/>
    <w:rsid w:val="00E75233"/>
    <w:rsid w:val="00E75327"/>
    <w:rsid w:val="00E75DD6"/>
    <w:rsid w:val="00E7660D"/>
    <w:rsid w:val="00E80EC6"/>
    <w:rsid w:val="00E811BB"/>
    <w:rsid w:val="00E813D4"/>
    <w:rsid w:val="00E8206D"/>
    <w:rsid w:val="00E84944"/>
    <w:rsid w:val="00E85360"/>
    <w:rsid w:val="00E864F9"/>
    <w:rsid w:val="00E90E38"/>
    <w:rsid w:val="00E916A2"/>
    <w:rsid w:val="00E9175F"/>
    <w:rsid w:val="00E921EA"/>
    <w:rsid w:val="00E92ED0"/>
    <w:rsid w:val="00E940AE"/>
    <w:rsid w:val="00E96885"/>
    <w:rsid w:val="00E97A00"/>
    <w:rsid w:val="00EA006A"/>
    <w:rsid w:val="00EA0ED5"/>
    <w:rsid w:val="00EA2260"/>
    <w:rsid w:val="00EA35CF"/>
    <w:rsid w:val="00EA6ED9"/>
    <w:rsid w:val="00EA7578"/>
    <w:rsid w:val="00EA7A16"/>
    <w:rsid w:val="00EA7DA4"/>
    <w:rsid w:val="00EB0205"/>
    <w:rsid w:val="00EB38D8"/>
    <w:rsid w:val="00EB49C2"/>
    <w:rsid w:val="00EB7FEA"/>
    <w:rsid w:val="00EC4604"/>
    <w:rsid w:val="00EC4D61"/>
    <w:rsid w:val="00EC5C61"/>
    <w:rsid w:val="00EC6167"/>
    <w:rsid w:val="00EC69F9"/>
    <w:rsid w:val="00EC759B"/>
    <w:rsid w:val="00ED054A"/>
    <w:rsid w:val="00ED0AE6"/>
    <w:rsid w:val="00ED0D21"/>
    <w:rsid w:val="00ED3055"/>
    <w:rsid w:val="00ED3267"/>
    <w:rsid w:val="00ED4843"/>
    <w:rsid w:val="00ED5821"/>
    <w:rsid w:val="00ED707C"/>
    <w:rsid w:val="00ED70C0"/>
    <w:rsid w:val="00EE014D"/>
    <w:rsid w:val="00EE06FD"/>
    <w:rsid w:val="00EE460F"/>
    <w:rsid w:val="00EE4CA7"/>
    <w:rsid w:val="00EE7100"/>
    <w:rsid w:val="00EF1ECA"/>
    <w:rsid w:val="00EF233C"/>
    <w:rsid w:val="00EF38A9"/>
    <w:rsid w:val="00EF589E"/>
    <w:rsid w:val="00EF59E2"/>
    <w:rsid w:val="00EF64CD"/>
    <w:rsid w:val="00EF675D"/>
    <w:rsid w:val="00EF771C"/>
    <w:rsid w:val="00EF7899"/>
    <w:rsid w:val="00F01778"/>
    <w:rsid w:val="00F0572C"/>
    <w:rsid w:val="00F05E85"/>
    <w:rsid w:val="00F1081A"/>
    <w:rsid w:val="00F115A6"/>
    <w:rsid w:val="00F119FE"/>
    <w:rsid w:val="00F14B7E"/>
    <w:rsid w:val="00F150AB"/>
    <w:rsid w:val="00F15DDA"/>
    <w:rsid w:val="00F16F5A"/>
    <w:rsid w:val="00F17A40"/>
    <w:rsid w:val="00F21217"/>
    <w:rsid w:val="00F22C46"/>
    <w:rsid w:val="00F234A7"/>
    <w:rsid w:val="00F24D7C"/>
    <w:rsid w:val="00F25103"/>
    <w:rsid w:val="00F263A6"/>
    <w:rsid w:val="00F2645B"/>
    <w:rsid w:val="00F2650C"/>
    <w:rsid w:val="00F275CA"/>
    <w:rsid w:val="00F27832"/>
    <w:rsid w:val="00F30FF1"/>
    <w:rsid w:val="00F316A8"/>
    <w:rsid w:val="00F31932"/>
    <w:rsid w:val="00F320C1"/>
    <w:rsid w:val="00F34DBE"/>
    <w:rsid w:val="00F36BF6"/>
    <w:rsid w:val="00F374FC"/>
    <w:rsid w:val="00F3762B"/>
    <w:rsid w:val="00F37C44"/>
    <w:rsid w:val="00F40A11"/>
    <w:rsid w:val="00F40F6C"/>
    <w:rsid w:val="00F410F5"/>
    <w:rsid w:val="00F42A25"/>
    <w:rsid w:val="00F4304C"/>
    <w:rsid w:val="00F44994"/>
    <w:rsid w:val="00F462F3"/>
    <w:rsid w:val="00F50F6D"/>
    <w:rsid w:val="00F5408D"/>
    <w:rsid w:val="00F54429"/>
    <w:rsid w:val="00F553F6"/>
    <w:rsid w:val="00F558D2"/>
    <w:rsid w:val="00F56312"/>
    <w:rsid w:val="00F566E6"/>
    <w:rsid w:val="00F56DBB"/>
    <w:rsid w:val="00F62953"/>
    <w:rsid w:val="00F66D32"/>
    <w:rsid w:val="00F67027"/>
    <w:rsid w:val="00F70A57"/>
    <w:rsid w:val="00F7482A"/>
    <w:rsid w:val="00F75DDB"/>
    <w:rsid w:val="00F761D9"/>
    <w:rsid w:val="00F76980"/>
    <w:rsid w:val="00F76D69"/>
    <w:rsid w:val="00F77FC8"/>
    <w:rsid w:val="00F8096B"/>
    <w:rsid w:val="00F811E1"/>
    <w:rsid w:val="00F81ECB"/>
    <w:rsid w:val="00F82640"/>
    <w:rsid w:val="00F8327A"/>
    <w:rsid w:val="00F84A75"/>
    <w:rsid w:val="00F86706"/>
    <w:rsid w:val="00F86924"/>
    <w:rsid w:val="00F86C9F"/>
    <w:rsid w:val="00F8749D"/>
    <w:rsid w:val="00F939E2"/>
    <w:rsid w:val="00F954DC"/>
    <w:rsid w:val="00F9663A"/>
    <w:rsid w:val="00F96BC7"/>
    <w:rsid w:val="00F96C79"/>
    <w:rsid w:val="00FA00B8"/>
    <w:rsid w:val="00FA039E"/>
    <w:rsid w:val="00FA27B6"/>
    <w:rsid w:val="00FA467E"/>
    <w:rsid w:val="00FA50FC"/>
    <w:rsid w:val="00FA52A5"/>
    <w:rsid w:val="00FA5984"/>
    <w:rsid w:val="00FA5EE7"/>
    <w:rsid w:val="00FA70FE"/>
    <w:rsid w:val="00FA7B67"/>
    <w:rsid w:val="00FA7BAA"/>
    <w:rsid w:val="00FA7D20"/>
    <w:rsid w:val="00FA7FEF"/>
    <w:rsid w:val="00FB21B5"/>
    <w:rsid w:val="00FB2B3A"/>
    <w:rsid w:val="00FB30CE"/>
    <w:rsid w:val="00FB4295"/>
    <w:rsid w:val="00FB56CE"/>
    <w:rsid w:val="00FB60E3"/>
    <w:rsid w:val="00FB62E0"/>
    <w:rsid w:val="00FB6CA8"/>
    <w:rsid w:val="00FB73FE"/>
    <w:rsid w:val="00FC37F4"/>
    <w:rsid w:val="00FC4291"/>
    <w:rsid w:val="00FC464C"/>
    <w:rsid w:val="00FC4DB3"/>
    <w:rsid w:val="00FC562C"/>
    <w:rsid w:val="00FC5A5C"/>
    <w:rsid w:val="00FC7212"/>
    <w:rsid w:val="00FD1649"/>
    <w:rsid w:val="00FD38E4"/>
    <w:rsid w:val="00FD43A0"/>
    <w:rsid w:val="00FD4659"/>
    <w:rsid w:val="00FD50D6"/>
    <w:rsid w:val="00FD5C3D"/>
    <w:rsid w:val="00FD7381"/>
    <w:rsid w:val="00FD76F3"/>
    <w:rsid w:val="00FD7A44"/>
    <w:rsid w:val="00FE16B9"/>
    <w:rsid w:val="00FE1953"/>
    <w:rsid w:val="00FE2537"/>
    <w:rsid w:val="00FE3764"/>
    <w:rsid w:val="00FE46F8"/>
    <w:rsid w:val="00FE5614"/>
    <w:rsid w:val="00FF0F1C"/>
    <w:rsid w:val="00FF2A47"/>
    <w:rsid w:val="00FF45F6"/>
    <w:rsid w:val="00FF46B9"/>
    <w:rsid w:val="00FF4F89"/>
    <w:rsid w:val="00FF61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0"/>
    <w:lsdException w:name="footer" w:unhideWhenUsed="0"/>
    <w:lsdException w:name="caption" w:qFormat="1"/>
    <w:lsdException w:name="footnote reference" w:uiPriority="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4FAB"/>
    <w:pPr>
      <w:autoSpaceDE w:val="0"/>
      <w:autoSpaceDN w:val="0"/>
    </w:pPr>
    <w:rPr>
      <w:rFonts w:ascii="Times New Roman" w:hAnsi="Times New Roman"/>
    </w:rPr>
  </w:style>
  <w:style w:type="paragraph" w:styleId="Titolo1">
    <w:name w:val="heading 1"/>
    <w:basedOn w:val="Normale"/>
    <w:next w:val="Normale"/>
    <w:link w:val="Titolo1Carattere"/>
    <w:uiPriority w:val="9"/>
    <w:qFormat/>
    <w:rsid w:val="005B4FAB"/>
    <w:pPr>
      <w:keepNext/>
      <w:widowControl w:val="0"/>
      <w:jc w:val="both"/>
      <w:outlineLvl w:val="0"/>
    </w:pPr>
    <w:rPr>
      <w:rFonts w:ascii="Cambria" w:hAnsi="Cambria"/>
      <w:b/>
      <w:bCs/>
      <w:kern w:val="32"/>
      <w:sz w:val="32"/>
      <w:szCs w:val="32"/>
    </w:rPr>
  </w:style>
  <w:style w:type="paragraph" w:styleId="Titolo2">
    <w:name w:val="heading 2"/>
    <w:basedOn w:val="Normale"/>
    <w:next w:val="Normale"/>
    <w:link w:val="Titolo2Carattere"/>
    <w:uiPriority w:val="9"/>
    <w:qFormat/>
    <w:rsid w:val="005B4FAB"/>
    <w:pPr>
      <w:keepNext/>
      <w:widowControl w:val="0"/>
      <w:jc w:val="both"/>
      <w:outlineLvl w:val="1"/>
    </w:pPr>
    <w:rPr>
      <w:rFonts w:ascii="Cambria" w:hAnsi="Cambria"/>
      <w:b/>
      <w:bCs/>
      <w:i/>
      <w:iCs/>
      <w:sz w:val="28"/>
      <w:szCs w:val="28"/>
    </w:rPr>
  </w:style>
  <w:style w:type="paragraph" w:styleId="Titolo3">
    <w:name w:val="heading 3"/>
    <w:basedOn w:val="Normale"/>
    <w:next w:val="Normale"/>
    <w:link w:val="Titolo3Carattere"/>
    <w:uiPriority w:val="9"/>
    <w:qFormat/>
    <w:rsid w:val="005B4FAB"/>
    <w:pPr>
      <w:keepNext/>
      <w:widowControl w:val="0"/>
      <w:ind w:left="567"/>
      <w:outlineLvl w:val="2"/>
    </w:pPr>
    <w:rPr>
      <w:rFonts w:ascii="Cambria" w:hAnsi="Cambria"/>
      <w:b/>
      <w:bCs/>
      <w:sz w:val="26"/>
      <w:szCs w:val="26"/>
    </w:rPr>
  </w:style>
  <w:style w:type="paragraph" w:styleId="Titolo4">
    <w:name w:val="heading 4"/>
    <w:basedOn w:val="Normale"/>
    <w:next w:val="Normale"/>
    <w:link w:val="Titolo4Carattere"/>
    <w:uiPriority w:val="9"/>
    <w:qFormat/>
    <w:rsid w:val="00EF64CD"/>
    <w:pPr>
      <w:keepNext/>
      <w:widowControl w:val="0"/>
      <w:ind w:left="1985"/>
      <w:outlineLvl w:val="3"/>
    </w:pPr>
    <w:rPr>
      <w:rFonts w:ascii="Calibri" w:hAnsi="Calibri"/>
      <w:b/>
      <w:bCs/>
      <w:sz w:val="28"/>
      <w:szCs w:val="28"/>
    </w:rPr>
  </w:style>
  <w:style w:type="paragraph" w:styleId="Titolo5">
    <w:name w:val="heading 5"/>
    <w:basedOn w:val="Normale"/>
    <w:next w:val="Normale"/>
    <w:link w:val="Titolo5Carattere"/>
    <w:uiPriority w:val="9"/>
    <w:qFormat/>
    <w:rsid w:val="005B4FAB"/>
    <w:pPr>
      <w:keepNext/>
      <w:outlineLvl w:val="4"/>
    </w:pPr>
    <w:rPr>
      <w:rFonts w:ascii="Calibri" w:hAnsi="Calibri"/>
      <w:b/>
      <w:bCs/>
      <w:i/>
      <w:iCs/>
      <w:sz w:val="26"/>
      <w:szCs w:val="26"/>
    </w:rPr>
  </w:style>
  <w:style w:type="paragraph" w:styleId="Titolo6">
    <w:name w:val="heading 6"/>
    <w:basedOn w:val="Normale"/>
    <w:next w:val="Normale"/>
    <w:link w:val="Titolo6Carattere"/>
    <w:uiPriority w:val="9"/>
    <w:qFormat/>
    <w:rsid w:val="005B4FAB"/>
    <w:pPr>
      <w:keepNext/>
      <w:outlineLvl w:val="5"/>
    </w:pPr>
    <w:rPr>
      <w:rFonts w:ascii="Calibri" w:hAnsi="Calibri"/>
      <w:b/>
      <w:bCs/>
    </w:rPr>
  </w:style>
  <w:style w:type="paragraph" w:styleId="Titolo7">
    <w:name w:val="heading 7"/>
    <w:basedOn w:val="Normale"/>
    <w:next w:val="Normale"/>
    <w:link w:val="Titolo7Carattere"/>
    <w:uiPriority w:val="9"/>
    <w:qFormat/>
    <w:rsid w:val="005B4FAB"/>
    <w:pPr>
      <w:keepNext/>
      <w:outlineLvl w:val="6"/>
    </w:pPr>
    <w:rPr>
      <w:rFonts w:ascii="Calibri" w:hAnsi="Calibri"/>
      <w:sz w:val="24"/>
      <w:szCs w:val="24"/>
    </w:rPr>
  </w:style>
  <w:style w:type="paragraph" w:styleId="Titolo8">
    <w:name w:val="heading 8"/>
    <w:basedOn w:val="Normale"/>
    <w:next w:val="Normale"/>
    <w:link w:val="Titolo8Carattere"/>
    <w:uiPriority w:val="9"/>
    <w:qFormat/>
    <w:rsid w:val="005B4FAB"/>
    <w:pPr>
      <w:keepNext/>
      <w:jc w:val="center"/>
      <w:outlineLvl w:val="7"/>
    </w:pPr>
    <w:rPr>
      <w:rFonts w:ascii="Calibri" w:hAnsi="Calibri"/>
      <w:i/>
      <w:iCs/>
      <w:sz w:val="24"/>
      <w:szCs w:val="24"/>
    </w:rPr>
  </w:style>
  <w:style w:type="paragraph" w:styleId="Titolo9">
    <w:name w:val="heading 9"/>
    <w:basedOn w:val="Normale"/>
    <w:next w:val="Normale"/>
    <w:link w:val="Titolo9Carattere"/>
    <w:uiPriority w:val="9"/>
    <w:qFormat/>
    <w:rsid w:val="005B4FAB"/>
    <w:pPr>
      <w:keepNext/>
      <w:ind w:left="1701"/>
      <w:outlineLvl w:val="8"/>
    </w:pPr>
    <w:rPr>
      <w:rFonts w:ascii="Cambria"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5B4FAB"/>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5B4FAB"/>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5B4FAB"/>
    <w:rPr>
      <w:rFonts w:ascii="Cambria" w:eastAsia="Times New Roman" w:hAnsi="Cambria" w:cs="Times New Roman"/>
      <w:b/>
      <w:bCs/>
      <w:sz w:val="26"/>
      <w:szCs w:val="26"/>
    </w:rPr>
  </w:style>
  <w:style w:type="character" w:customStyle="1" w:styleId="Titolo4Carattere">
    <w:name w:val="Titolo 4 Carattere"/>
    <w:link w:val="Titolo4"/>
    <w:uiPriority w:val="9"/>
    <w:rsid w:val="00EF64CD"/>
    <w:rPr>
      <w:b/>
      <w:bCs/>
      <w:sz w:val="28"/>
      <w:szCs w:val="28"/>
    </w:rPr>
  </w:style>
  <w:style w:type="character" w:customStyle="1" w:styleId="Titolo5Carattere">
    <w:name w:val="Titolo 5 Carattere"/>
    <w:link w:val="Titolo5"/>
    <w:uiPriority w:val="9"/>
    <w:semiHidden/>
    <w:rsid w:val="005B4FAB"/>
    <w:rPr>
      <w:b/>
      <w:bCs/>
      <w:i/>
      <w:iCs/>
      <w:sz w:val="26"/>
      <w:szCs w:val="26"/>
    </w:rPr>
  </w:style>
  <w:style w:type="character" w:customStyle="1" w:styleId="Titolo6Carattere">
    <w:name w:val="Titolo 6 Carattere"/>
    <w:link w:val="Titolo6"/>
    <w:uiPriority w:val="9"/>
    <w:semiHidden/>
    <w:rsid w:val="005B4FAB"/>
    <w:rPr>
      <w:b/>
      <w:bCs/>
    </w:rPr>
  </w:style>
  <w:style w:type="character" w:customStyle="1" w:styleId="Titolo7Carattere">
    <w:name w:val="Titolo 7 Carattere"/>
    <w:link w:val="Titolo7"/>
    <w:uiPriority w:val="9"/>
    <w:semiHidden/>
    <w:rsid w:val="005B4FAB"/>
    <w:rPr>
      <w:sz w:val="24"/>
      <w:szCs w:val="24"/>
    </w:rPr>
  </w:style>
  <w:style w:type="character" w:customStyle="1" w:styleId="Titolo8Carattere">
    <w:name w:val="Titolo 8 Carattere"/>
    <w:link w:val="Titolo8"/>
    <w:uiPriority w:val="9"/>
    <w:semiHidden/>
    <w:rsid w:val="005B4FAB"/>
    <w:rPr>
      <w:i/>
      <w:iCs/>
      <w:sz w:val="24"/>
      <w:szCs w:val="24"/>
    </w:rPr>
  </w:style>
  <w:style w:type="character" w:customStyle="1" w:styleId="Titolo9Carattere">
    <w:name w:val="Titolo 9 Carattere"/>
    <w:link w:val="Titolo9"/>
    <w:uiPriority w:val="9"/>
    <w:semiHidden/>
    <w:rsid w:val="005B4FAB"/>
    <w:rPr>
      <w:rFonts w:ascii="Cambria" w:eastAsia="Times New Roman" w:hAnsi="Cambria" w:cs="Times New Roman"/>
    </w:rPr>
  </w:style>
  <w:style w:type="paragraph" w:styleId="Intestazione">
    <w:name w:val="header"/>
    <w:basedOn w:val="Normale"/>
    <w:link w:val="IntestazioneCarattere"/>
    <w:uiPriority w:val="99"/>
    <w:rsid w:val="005B4FAB"/>
    <w:pPr>
      <w:tabs>
        <w:tab w:val="center" w:pos="4819"/>
        <w:tab w:val="right" w:pos="9638"/>
      </w:tabs>
    </w:pPr>
  </w:style>
  <w:style w:type="character" w:customStyle="1" w:styleId="IntestazioneCarattere">
    <w:name w:val="Intestazione Carattere"/>
    <w:link w:val="Intestazione"/>
    <w:uiPriority w:val="99"/>
    <w:semiHidden/>
    <w:rsid w:val="005B4FAB"/>
    <w:rPr>
      <w:rFonts w:ascii="Times New Roman" w:hAnsi="Times New Roman" w:cs="Times New Roman"/>
      <w:sz w:val="20"/>
      <w:szCs w:val="20"/>
    </w:rPr>
  </w:style>
  <w:style w:type="paragraph" w:styleId="Pidipagina">
    <w:name w:val="footer"/>
    <w:basedOn w:val="Normale"/>
    <w:link w:val="PidipaginaCarattere"/>
    <w:uiPriority w:val="99"/>
    <w:rsid w:val="005B4FAB"/>
    <w:pPr>
      <w:tabs>
        <w:tab w:val="center" w:pos="4819"/>
        <w:tab w:val="right" w:pos="9638"/>
      </w:tabs>
    </w:pPr>
  </w:style>
  <w:style w:type="character" w:customStyle="1" w:styleId="PidipaginaCarattere">
    <w:name w:val="Piè di pagina Carattere"/>
    <w:link w:val="Pidipagina"/>
    <w:uiPriority w:val="99"/>
    <w:rsid w:val="005B4FAB"/>
    <w:rPr>
      <w:rFonts w:ascii="Times New Roman" w:hAnsi="Times New Roman" w:cs="Times New Roman"/>
      <w:sz w:val="20"/>
      <w:szCs w:val="20"/>
    </w:rPr>
  </w:style>
  <w:style w:type="character" w:styleId="Numeropagina">
    <w:name w:val="page number"/>
    <w:basedOn w:val="Carpredefinitoparagrafo"/>
    <w:uiPriority w:val="99"/>
    <w:rsid w:val="005B4FAB"/>
  </w:style>
  <w:style w:type="paragraph" w:styleId="Corpodeltesto2">
    <w:name w:val="Body Text 2"/>
    <w:basedOn w:val="Normale"/>
    <w:link w:val="Corpodeltesto2Carattere"/>
    <w:uiPriority w:val="99"/>
    <w:rsid w:val="005B4FAB"/>
  </w:style>
  <w:style w:type="character" w:customStyle="1" w:styleId="Corpodeltesto2Carattere">
    <w:name w:val="Corpo del testo 2 Carattere"/>
    <w:link w:val="Corpodeltesto2"/>
    <w:uiPriority w:val="99"/>
    <w:rsid w:val="005B4FAB"/>
    <w:rPr>
      <w:rFonts w:ascii="Times New Roman" w:hAnsi="Times New Roman" w:cs="Times New Roman"/>
      <w:sz w:val="20"/>
      <w:szCs w:val="20"/>
    </w:rPr>
  </w:style>
  <w:style w:type="paragraph" w:styleId="Rientrocorpodeltesto2">
    <w:name w:val="Body Text Indent 2"/>
    <w:basedOn w:val="Normale"/>
    <w:link w:val="Rientrocorpodeltesto2Carattere"/>
    <w:uiPriority w:val="99"/>
    <w:rsid w:val="005B4FAB"/>
    <w:pPr>
      <w:widowControl w:val="0"/>
      <w:ind w:left="1700"/>
      <w:jc w:val="both"/>
    </w:pPr>
  </w:style>
  <w:style w:type="character" w:customStyle="1" w:styleId="Rientrocorpodeltesto2Carattere">
    <w:name w:val="Rientro corpo del testo 2 Carattere"/>
    <w:link w:val="Rientrocorpodeltesto2"/>
    <w:uiPriority w:val="99"/>
    <w:rsid w:val="005B4FAB"/>
    <w:rPr>
      <w:rFonts w:ascii="Times New Roman" w:hAnsi="Times New Roman" w:cs="Times New Roman"/>
      <w:sz w:val="20"/>
      <w:szCs w:val="20"/>
    </w:rPr>
  </w:style>
  <w:style w:type="paragraph" w:customStyle="1" w:styleId="Corpodeltesto1">
    <w:name w:val="Corpo del testo1"/>
    <w:basedOn w:val="Normale"/>
    <w:link w:val="CorpodeltestoCarattere"/>
    <w:uiPriority w:val="99"/>
    <w:rsid w:val="005B4FAB"/>
    <w:pPr>
      <w:jc w:val="both"/>
    </w:pPr>
  </w:style>
  <w:style w:type="character" w:customStyle="1" w:styleId="CorpodeltestoCarattere">
    <w:name w:val="Corpo del testo Carattere"/>
    <w:link w:val="Corpodeltesto1"/>
    <w:uiPriority w:val="99"/>
    <w:semiHidden/>
    <w:rsid w:val="005B4FAB"/>
    <w:rPr>
      <w:rFonts w:ascii="Times New Roman" w:hAnsi="Times New Roman" w:cs="Times New Roman"/>
      <w:sz w:val="20"/>
      <w:szCs w:val="20"/>
    </w:rPr>
  </w:style>
  <w:style w:type="character" w:customStyle="1" w:styleId="grame">
    <w:name w:val="grame"/>
    <w:basedOn w:val="Carpredefinitoparagrafo"/>
    <w:uiPriority w:val="99"/>
    <w:rsid w:val="005B4FAB"/>
  </w:style>
  <w:style w:type="paragraph" w:styleId="Rientrocorpodeltesto3">
    <w:name w:val="Body Text Indent 3"/>
    <w:basedOn w:val="Normale"/>
    <w:link w:val="Rientrocorpodeltesto3Carattere"/>
    <w:uiPriority w:val="99"/>
    <w:rsid w:val="005B4FAB"/>
    <w:pPr>
      <w:widowControl w:val="0"/>
      <w:ind w:left="1701"/>
      <w:jc w:val="both"/>
    </w:pPr>
    <w:rPr>
      <w:sz w:val="16"/>
      <w:szCs w:val="16"/>
    </w:rPr>
  </w:style>
  <w:style w:type="character" w:customStyle="1" w:styleId="Rientrocorpodeltesto3Carattere">
    <w:name w:val="Rientro corpo del testo 3 Carattere"/>
    <w:link w:val="Rientrocorpodeltesto3"/>
    <w:uiPriority w:val="99"/>
    <w:semiHidden/>
    <w:rsid w:val="005B4FAB"/>
    <w:rPr>
      <w:rFonts w:ascii="Times New Roman" w:hAnsi="Times New Roman" w:cs="Times New Roman"/>
      <w:sz w:val="16"/>
      <w:szCs w:val="16"/>
    </w:rPr>
  </w:style>
  <w:style w:type="paragraph" w:styleId="Corpodeltesto3">
    <w:name w:val="Body Text 3"/>
    <w:basedOn w:val="Normale"/>
    <w:link w:val="Corpodeltesto3Carattere"/>
    <w:uiPriority w:val="99"/>
    <w:rsid w:val="005B4FAB"/>
    <w:pPr>
      <w:widowControl w:val="0"/>
      <w:jc w:val="both"/>
    </w:pPr>
    <w:rPr>
      <w:sz w:val="16"/>
      <w:szCs w:val="16"/>
    </w:rPr>
  </w:style>
  <w:style w:type="character" w:customStyle="1" w:styleId="Corpodeltesto3Carattere">
    <w:name w:val="Corpo del testo 3 Carattere"/>
    <w:link w:val="Corpodeltesto3"/>
    <w:uiPriority w:val="99"/>
    <w:semiHidden/>
    <w:rsid w:val="005B4FAB"/>
    <w:rPr>
      <w:rFonts w:ascii="Times New Roman" w:hAnsi="Times New Roman" w:cs="Times New Roman"/>
      <w:sz w:val="16"/>
      <w:szCs w:val="16"/>
    </w:rPr>
  </w:style>
  <w:style w:type="paragraph" w:styleId="NormaleWeb">
    <w:name w:val="Normal (Web)"/>
    <w:basedOn w:val="Normale"/>
    <w:uiPriority w:val="99"/>
    <w:unhideWhenUsed/>
    <w:rsid w:val="00064CD8"/>
    <w:pPr>
      <w:autoSpaceDE/>
      <w:autoSpaceDN/>
      <w:spacing w:before="100" w:beforeAutospacing="1" w:after="119"/>
    </w:pPr>
    <w:rPr>
      <w:sz w:val="24"/>
      <w:szCs w:val="24"/>
    </w:rPr>
  </w:style>
  <w:style w:type="paragraph" w:styleId="Testodelblocco">
    <w:name w:val="Block Text"/>
    <w:basedOn w:val="Normale"/>
    <w:uiPriority w:val="99"/>
    <w:rsid w:val="00FA467E"/>
    <w:pPr>
      <w:widowControl w:val="0"/>
      <w:ind w:left="1700" w:right="1"/>
      <w:jc w:val="both"/>
    </w:pPr>
    <w:rPr>
      <w:color w:val="000000"/>
      <w:sz w:val="24"/>
      <w:szCs w:val="24"/>
    </w:rPr>
  </w:style>
  <w:style w:type="paragraph" w:customStyle="1" w:styleId="Testataparagrafo">
    <w:name w:val="Testata paragrafo"/>
    <w:basedOn w:val="Normale"/>
    <w:uiPriority w:val="99"/>
    <w:rsid w:val="00FA467E"/>
    <w:pPr>
      <w:widowControl w:val="0"/>
      <w:shd w:val="pct15" w:color="auto" w:fill="FFFFFF"/>
      <w:jc w:val="both"/>
    </w:pPr>
    <w:rPr>
      <w:b/>
      <w:bCs/>
      <w:color w:val="000080"/>
      <w:sz w:val="24"/>
      <w:szCs w:val="24"/>
    </w:rPr>
  </w:style>
  <w:style w:type="paragraph" w:customStyle="1" w:styleId="Intestazione-pidicolonna">
    <w:name w:val="Intestazione- piè di colonna"/>
    <w:basedOn w:val="Normale"/>
    <w:uiPriority w:val="99"/>
    <w:rsid w:val="00FA467E"/>
    <w:pPr>
      <w:widowControl w:val="0"/>
      <w:shd w:val="pct5" w:color="auto" w:fill="FFFFFF"/>
      <w:jc w:val="center"/>
    </w:pPr>
    <w:rPr>
      <w:rFonts w:ascii="Arial" w:hAnsi="Arial" w:cs="Arial"/>
      <w:b/>
      <w:bCs/>
      <w:color w:val="000000"/>
      <w:sz w:val="18"/>
      <w:szCs w:val="18"/>
    </w:rPr>
  </w:style>
  <w:style w:type="paragraph" w:customStyle="1" w:styleId="Intestazione-picolonna2">
    <w:name w:val="Intestazione- piè colonna 2"/>
    <w:basedOn w:val="Normale"/>
    <w:uiPriority w:val="99"/>
    <w:rsid w:val="00FA467E"/>
    <w:pPr>
      <w:widowControl w:val="0"/>
      <w:shd w:val="pct5" w:color="auto" w:fill="FFFFFF"/>
    </w:pPr>
    <w:rPr>
      <w:color w:val="000000"/>
      <w:sz w:val="24"/>
      <w:szCs w:val="24"/>
    </w:rPr>
  </w:style>
  <w:style w:type="paragraph" w:styleId="Didascalia">
    <w:name w:val="caption"/>
    <w:basedOn w:val="Normale"/>
    <w:next w:val="Normale"/>
    <w:uiPriority w:val="99"/>
    <w:qFormat/>
    <w:rsid w:val="00FA467E"/>
    <w:pPr>
      <w:widowControl w:val="0"/>
      <w:ind w:left="1700" w:right="1"/>
      <w:jc w:val="both"/>
    </w:pPr>
    <w:rPr>
      <w:i/>
      <w:iCs/>
      <w:color w:val="000000"/>
      <w:sz w:val="24"/>
      <w:szCs w:val="24"/>
    </w:rPr>
  </w:style>
  <w:style w:type="character" w:styleId="Rimandocommento">
    <w:name w:val="annotation reference"/>
    <w:uiPriority w:val="99"/>
    <w:rsid w:val="00FA467E"/>
    <w:rPr>
      <w:sz w:val="16"/>
      <w:szCs w:val="16"/>
    </w:rPr>
  </w:style>
  <w:style w:type="paragraph" w:styleId="Testocommento">
    <w:name w:val="annotation text"/>
    <w:basedOn w:val="Normale"/>
    <w:link w:val="TestocommentoCarattere"/>
    <w:uiPriority w:val="99"/>
    <w:rsid w:val="00FA467E"/>
  </w:style>
  <w:style w:type="character" w:customStyle="1" w:styleId="TestocommentoCarattere">
    <w:name w:val="Testo commento Carattere"/>
    <w:link w:val="Testocommento"/>
    <w:uiPriority w:val="99"/>
    <w:rsid w:val="00FA467E"/>
    <w:rPr>
      <w:rFonts w:ascii="Times New Roman" w:eastAsia="Times New Roman" w:hAnsi="Times New Roman" w:cs="Times New Roman"/>
      <w:sz w:val="20"/>
      <w:szCs w:val="20"/>
    </w:rPr>
  </w:style>
  <w:style w:type="paragraph" w:styleId="Mappadocumento">
    <w:name w:val="Document Map"/>
    <w:basedOn w:val="Normale"/>
    <w:link w:val="MappadocumentoCarattere"/>
    <w:uiPriority w:val="99"/>
    <w:rsid w:val="00FA467E"/>
    <w:pPr>
      <w:shd w:val="clear" w:color="auto" w:fill="000080"/>
    </w:pPr>
    <w:rPr>
      <w:rFonts w:ascii="Tahoma" w:hAnsi="Tahoma"/>
    </w:rPr>
  </w:style>
  <w:style w:type="character" w:customStyle="1" w:styleId="MappadocumentoCarattere">
    <w:name w:val="Mappa documento Carattere"/>
    <w:link w:val="Mappadocumento"/>
    <w:uiPriority w:val="99"/>
    <w:rsid w:val="00FA467E"/>
    <w:rPr>
      <w:rFonts w:ascii="Tahoma" w:eastAsia="Times New Roman" w:hAnsi="Tahoma" w:cs="Tahoma"/>
      <w:sz w:val="20"/>
      <w:szCs w:val="20"/>
      <w:shd w:val="clear" w:color="auto" w:fill="000080"/>
    </w:rPr>
  </w:style>
  <w:style w:type="paragraph" w:styleId="Paragrafoelenco">
    <w:name w:val="List Paragraph"/>
    <w:basedOn w:val="Normale"/>
    <w:uiPriority w:val="34"/>
    <w:qFormat/>
    <w:rsid w:val="00FA467E"/>
    <w:pPr>
      <w:ind w:left="720"/>
    </w:pPr>
  </w:style>
  <w:style w:type="paragraph" w:customStyle="1" w:styleId="western">
    <w:name w:val="western"/>
    <w:basedOn w:val="Normale"/>
    <w:rsid w:val="00FA467E"/>
    <w:pPr>
      <w:autoSpaceDE/>
      <w:autoSpaceDN/>
      <w:spacing w:before="100" w:beforeAutospacing="1"/>
      <w:ind w:left="119"/>
    </w:pPr>
    <w:rPr>
      <w:sz w:val="24"/>
      <w:szCs w:val="24"/>
    </w:rPr>
  </w:style>
  <w:style w:type="paragraph" w:styleId="Testofumetto">
    <w:name w:val="Balloon Text"/>
    <w:basedOn w:val="Normale"/>
    <w:link w:val="TestofumettoCarattere"/>
    <w:uiPriority w:val="99"/>
    <w:semiHidden/>
    <w:unhideWhenUsed/>
    <w:rsid w:val="00CB454C"/>
    <w:rPr>
      <w:rFonts w:ascii="Tahoma" w:hAnsi="Tahoma"/>
      <w:sz w:val="16"/>
      <w:szCs w:val="16"/>
    </w:rPr>
  </w:style>
  <w:style w:type="character" w:customStyle="1" w:styleId="TestofumettoCarattere">
    <w:name w:val="Testo fumetto Carattere"/>
    <w:link w:val="Testofumetto"/>
    <w:uiPriority w:val="99"/>
    <w:semiHidden/>
    <w:rsid w:val="00CB454C"/>
    <w:rPr>
      <w:rFonts w:ascii="Tahoma" w:hAnsi="Tahoma" w:cs="Tahoma"/>
      <w:sz w:val="16"/>
      <w:szCs w:val="16"/>
    </w:rPr>
  </w:style>
  <w:style w:type="character" w:styleId="Collegamentoipertestuale">
    <w:name w:val="Hyperlink"/>
    <w:uiPriority w:val="99"/>
    <w:unhideWhenUsed/>
    <w:rsid w:val="005029DC"/>
    <w:rPr>
      <w:color w:val="0000FF"/>
      <w:u w:val="single"/>
    </w:rPr>
  </w:style>
  <w:style w:type="paragraph" w:styleId="Nessunaspaziatura">
    <w:name w:val="No Spacing"/>
    <w:link w:val="NessunaspaziaturaCarattere"/>
    <w:uiPriority w:val="1"/>
    <w:qFormat/>
    <w:rsid w:val="00795AC1"/>
    <w:rPr>
      <w:sz w:val="22"/>
      <w:szCs w:val="22"/>
    </w:rPr>
  </w:style>
  <w:style w:type="character" w:customStyle="1" w:styleId="NessunaspaziaturaCarattere">
    <w:name w:val="Nessuna spaziatura Carattere"/>
    <w:link w:val="Nessunaspaziatura"/>
    <w:uiPriority w:val="1"/>
    <w:rsid w:val="00795AC1"/>
    <w:rPr>
      <w:sz w:val="22"/>
      <w:szCs w:val="22"/>
      <w:lang w:bidi="ar-SA"/>
    </w:rPr>
  </w:style>
  <w:style w:type="paragraph" w:customStyle="1" w:styleId="TITOLO10">
    <w:name w:val="TITOLO1"/>
    <w:basedOn w:val="Normale"/>
    <w:qFormat/>
    <w:rsid w:val="006B32BB"/>
    <w:pPr>
      <w:keepNext/>
      <w:widowControl w:val="0"/>
      <w:spacing w:after="320"/>
      <w:jc w:val="center"/>
      <w:outlineLvl w:val="0"/>
    </w:pPr>
    <w:rPr>
      <w:rFonts w:ascii="Arial" w:hAnsi="Arial"/>
      <w:b/>
      <w:caps/>
      <w:color w:val="000000"/>
      <w:sz w:val="28"/>
      <w:szCs w:val="28"/>
    </w:rPr>
  </w:style>
  <w:style w:type="paragraph" w:customStyle="1" w:styleId="TITOLO20">
    <w:name w:val="TITOLO 2"/>
    <w:basedOn w:val="Normale"/>
    <w:qFormat/>
    <w:rsid w:val="00A316D4"/>
    <w:pPr>
      <w:keepNext/>
      <w:spacing w:after="200"/>
      <w:outlineLvl w:val="2"/>
    </w:pPr>
    <w:rPr>
      <w:rFonts w:ascii="Arial" w:hAnsi="Arial" w:cs="Arial"/>
      <w:b/>
      <w:bCs/>
      <w:color w:val="000000"/>
      <w:sz w:val="28"/>
      <w:szCs w:val="28"/>
    </w:rPr>
  </w:style>
  <w:style w:type="paragraph" w:customStyle="1" w:styleId="TITOLO30">
    <w:name w:val="TITOLO 3"/>
    <w:basedOn w:val="TITOLO20"/>
    <w:qFormat/>
    <w:rsid w:val="00D735B3"/>
    <w:pPr>
      <w:pBdr>
        <w:top w:val="single" w:sz="4" w:space="1" w:color="auto"/>
        <w:left w:val="single" w:sz="4" w:space="4" w:color="auto"/>
        <w:bottom w:val="single" w:sz="4" w:space="1" w:color="auto"/>
        <w:right w:val="single" w:sz="4" w:space="4" w:color="auto"/>
      </w:pBdr>
    </w:pPr>
  </w:style>
  <w:style w:type="paragraph" w:customStyle="1" w:styleId="TITOLO40">
    <w:name w:val="TITOLO 4"/>
    <w:basedOn w:val="Normale"/>
    <w:qFormat/>
    <w:rsid w:val="00ED0AE6"/>
    <w:pPr>
      <w:keepNext/>
      <w:widowControl w:val="0"/>
      <w:spacing w:after="200"/>
      <w:outlineLvl w:val="3"/>
    </w:pPr>
    <w:rPr>
      <w:rFonts w:ascii="Arial" w:hAnsi="Arial" w:cs="Arial"/>
      <w:b/>
      <w:bCs/>
      <w:color w:val="000000"/>
      <w:sz w:val="28"/>
      <w:szCs w:val="28"/>
    </w:rPr>
  </w:style>
  <w:style w:type="paragraph" w:styleId="Titolosommario">
    <w:name w:val="TOC Heading"/>
    <w:basedOn w:val="Titolo1"/>
    <w:next w:val="Normale"/>
    <w:uiPriority w:val="39"/>
    <w:unhideWhenUsed/>
    <w:qFormat/>
    <w:rsid w:val="00662626"/>
    <w:pPr>
      <w:keepLines/>
      <w:widowControl/>
      <w:autoSpaceDE/>
      <w:autoSpaceDN/>
      <w:spacing w:before="240" w:line="259" w:lineRule="auto"/>
      <w:jc w:val="left"/>
      <w:outlineLvl w:val="9"/>
    </w:pPr>
    <w:rPr>
      <w:rFonts w:ascii="Calibri Light" w:hAnsi="Calibri Light"/>
      <w:b w:val="0"/>
      <w:bCs w:val="0"/>
      <w:color w:val="2F5496"/>
      <w:kern w:val="0"/>
    </w:rPr>
  </w:style>
  <w:style w:type="paragraph" w:styleId="Sommario1">
    <w:name w:val="toc 1"/>
    <w:basedOn w:val="Normale"/>
    <w:next w:val="Normale"/>
    <w:autoRedefine/>
    <w:uiPriority w:val="39"/>
    <w:unhideWhenUsed/>
    <w:rsid w:val="00FD5C3D"/>
    <w:pPr>
      <w:spacing w:before="120" w:after="120"/>
    </w:pPr>
    <w:rPr>
      <w:rFonts w:ascii="Arial" w:hAnsi="Arial"/>
      <w:b/>
      <w:bCs/>
      <w:caps/>
    </w:rPr>
  </w:style>
  <w:style w:type="paragraph" w:styleId="Sommario2">
    <w:name w:val="toc 2"/>
    <w:basedOn w:val="Normale"/>
    <w:next w:val="Normale"/>
    <w:autoRedefine/>
    <w:uiPriority w:val="39"/>
    <w:unhideWhenUsed/>
    <w:rsid w:val="00FD5C3D"/>
    <w:pPr>
      <w:ind w:left="200"/>
    </w:pPr>
    <w:rPr>
      <w:rFonts w:ascii="Arial" w:hAnsi="Arial"/>
      <w:smallCaps/>
    </w:rPr>
  </w:style>
  <w:style w:type="paragraph" w:styleId="Sommario3">
    <w:name w:val="toc 3"/>
    <w:basedOn w:val="Normale"/>
    <w:next w:val="Normale"/>
    <w:autoRedefine/>
    <w:uiPriority w:val="39"/>
    <w:unhideWhenUsed/>
    <w:rsid w:val="00FD5C3D"/>
    <w:pPr>
      <w:ind w:left="400"/>
    </w:pPr>
    <w:rPr>
      <w:rFonts w:ascii="Arial" w:hAnsi="Arial"/>
      <w:i/>
      <w:iCs/>
    </w:rPr>
  </w:style>
  <w:style w:type="paragraph" w:customStyle="1" w:styleId="TITOLO50">
    <w:name w:val="TITOLO 5"/>
    <w:basedOn w:val="Normale"/>
    <w:qFormat/>
    <w:rsid w:val="002A3613"/>
    <w:pPr>
      <w:keepNext/>
      <w:widowControl w:val="0"/>
      <w:spacing w:after="120"/>
      <w:jc w:val="both"/>
      <w:outlineLvl w:val="4"/>
    </w:pPr>
    <w:rPr>
      <w:rFonts w:ascii="Arial" w:hAnsi="Arial" w:cs="Arial"/>
      <w:b/>
      <w:i/>
      <w:iCs/>
      <w:color w:val="000000"/>
    </w:rPr>
  </w:style>
  <w:style w:type="paragraph" w:styleId="Sommario4">
    <w:name w:val="toc 4"/>
    <w:basedOn w:val="Normale"/>
    <w:next w:val="Normale"/>
    <w:autoRedefine/>
    <w:uiPriority w:val="39"/>
    <w:unhideWhenUsed/>
    <w:rsid w:val="00FD5C3D"/>
    <w:pPr>
      <w:ind w:left="600"/>
    </w:pPr>
    <w:rPr>
      <w:rFonts w:ascii="Arial" w:hAnsi="Arial"/>
      <w:sz w:val="18"/>
      <w:szCs w:val="18"/>
    </w:rPr>
  </w:style>
  <w:style w:type="paragraph" w:styleId="Revisione">
    <w:name w:val="Revision"/>
    <w:hidden/>
    <w:uiPriority w:val="99"/>
    <w:semiHidden/>
    <w:rsid w:val="00A667C8"/>
    <w:rPr>
      <w:rFonts w:ascii="Times New Roman" w:hAnsi="Times New Roman"/>
    </w:rPr>
  </w:style>
  <w:style w:type="paragraph" w:styleId="Testonotaapidipagina">
    <w:name w:val="footnote text"/>
    <w:aliases w:val="Testo nota a piè di pagina Carattere Carattere,Testo nota a piè di pagina Carattere Carattere Carattere Carattere,Testo nota a piè di pagina Carattere Carattere Carattere Carattere Carattere"/>
    <w:basedOn w:val="Normale"/>
    <w:link w:val="TestonotaapidipaginaCarattere"/>
    <w:semiHidden/>
    <w:rsid w:val="0071434D"/>
    <w:pPr>
      <w:autoSpaceDE/>
      <w:autoSpaceDN/>
      <w:spacing w:after="200" w:line="276" w:lineRule="auto"/>
    </w:pPr>
    <w:rPr>
      <w:rFonts w:ascii="Calibri" w:hAnsi="Calibri"/>
      <w:lang w:eastAsia="en-US"/>
    </w:rPr>
  </w:style>
  <w:style w:type="character" w:customStyle="1" w:styleId="TestonotaapidipaginaCarattere">
    <w:name w:val="Testo nota a piè di pagina Carattere"/>
    <w:aliases w:val="Testo nota a piè di pagina Carattere Carattere Carattere,Testo nota a piè di pagina Carattere Carattere Carattere Carattere Carattere1"/>
    <w:link w:val="Testonotaapidipagina"/>
    <w:semiHidden/>
    <w:rsid w:val="0071434D"/>
    <w:rPr>
      <w:lang w:eastAsia="en-US"/>
    </w:rPr>
  </w:style>
  <w:style w:type="character" w:styleId="Rimandonotaapidipagina">
    <w:name w:val="footnote reference"/>
    <w:aliases w:val="Rimando nota a piè di pagina 2"/>
    <w:semiHidden/>
    <w:rsid w:val="0071434D"/>
    <w:rPr>
      <w:rFonts w:cs="Times New Roman"/>
      <w:vertAlign w:val="superscript"/>
    </w:rPr>
  </w:style>
  <w:style w:type="paragraph" w:styleId="Sommario5">
    <w:name w:val="toc 5"/>
    <w:basedOn w:val="Normale"/>
    <w:next w:val="Normale"/>
    <w:autoRedefine/>
    <w:uiPriority w:val="39"/>
    <w:unhideWhenUsed/>
    <w:rsid w:val="00FD5C3D"/>
    <w:pPr>
      <w:ind w:left="800"/>
    </w:pPr>
    <w:rPr>
      <w:rFonts w:ascii="Arial" w:hAnsi="Arial"/>
      <w:sz w:val="18"/>
      <w:szCs w:val="18"/>
    </w:rPr>
  </w:style>
  <w:style w:type="paragraph" w:styleId="Sommario6">
    <w:name w:val="toc 6"/>
    <w:basedOn w:val="Normale"/>
    <w:next w:val="Normale"/>
    <w:autoRedefine/>
    <w:uiPriority w:val="39"/>
    <w:unhideWhenUsed/>
    <w:rsid w:val="00FD5C3D"/>
    <w:pPr>
      <w:ind w:left="1000"/>
    </w:pPr>
    <w:rPr>
      <w:rFonts w:ascii="Arial" w:hAnsi="Arial"/>
      <w:sz w:val="18"/>
      <w:szCs w:val="18"/>
    </w:rPr>
  </w:style>
  <w:style w:type="paragraph" w:styleId="Sommario7">
    <w:name w:val="toc 7"/>
    <w:basedOn w:val="Normale"/>
    <w:next w:val="Normale"/>
    <w:autoRedefine/>
    <w:uiPriority w:val="39"/>
    <w:unhideWhenUsed/>
    <w:rsid w:val="00FD5C3D"/>
    <w:pPr>
      <w:ind w:left="1200"/>
    </w:pPr>
    <w:rPr>
      <w:rFonts w:ascii="Arial" w:hAnsi="Arial"/>
      <w:sz w:val="18"/>
      <w:szCs w:val="18"/>
    </w:rPr>
  </w:style>
  <w:style w:type="paragraph" w:styleId="Sommario8">
    <w:name w:val="toc 8"/>
    <w:basedOn w:val="Normale"/>
    <w:next w:val="Normale"/>
    <w:autoRedefine/>
    <w:uiPriority w:val="39"/>
    <w:unhideWhenUsed/>
    <w:rsid w:val="00FD5C3D"/>
    <w:pPr>
      <w:ind w:left="1400"/>
    </w:pPr>
    <w:rPr>
      <w:rFonts w:ascii="Arial" w:hAnsi="Arial"/>
      <w:sz w:val="18"/>
      <w:szCs w:val="18"/>
    </w:rPr>
  </w:style>
  <w:style w:type="paragraph" w:styleId="Sommario9">
    <w:name w:val="toc 9"/>
    <w:basedOn w:val="Normale"/>
    <w:next w:val="Normale"/>
    <w:autoRedefine/>
    <w:uiPriority w:val="39"/>
    <w:unhideWhenUsed/>
    <w:rsid w:val="00FD5C3D"/>
    <w:pPr>
      <w:ind w:left="1600"/>
    </w:pPr>
    <w:rPr>
      <w:rFonts w:ascii="Arial" w:hAnsi="Arial"/>
      <w:sz w:val="18"/>
      <w:szCs w:val="18"/>
    </w:rPr>
  </w:style>
  <w:style w:type="paragraph" w:styleId="Corpotesto">
    <w:name w:val="Body Text"/>
    <w:basedOn w:val="Normale"/>
    <w:link w:val="CorpotestoCarattere"/>
    <w:uiPriority w:val="99"/>
    <w:semiHidden/>
    <w:rsid w:val="00525D6D"/>
    <w:pPr>
      <w:spacing w:after="120"/>
    </w:pPr>
  </w:style>
  <w:style w:type="character" w:customStyle="1" w:styleId="CorpotestoCarattere">
    <w:name w:val="Corpo testo Carattere"/>
    <w:basedOn w:val="Carpredefinitoparagrafo"/>
    <w:link w:val="Corpotesto"/>
    <w:uiPriority w:val="99"/>
    <w:semiHidden/>
    <w:rsid w:val="00525D6D"/>
    <w:rPr>
      <w:rFonts w:ascii="Times New Roman" w:hAnsi="Times New Roman"/>
    </w:rPr>
  </w:style>
  <w:style w:type="table" w:customStyle="1" w:styleId="TableNormal">
    <w:name w:val="Table Normal"/>
    <w:uiPriority w:val="2"/>
    <w:semiHidden/>
    <w:unhideWhenUsed/>
    <w:qFormat/>
    <w:rsid w:val="00525D6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25D6D"/>
    <w:pPr>
      <w:widowControl w:val="0"/>
      <w:spacing w:before="16"/>
      <w:ind w:left="21"/>
    </w:pPr>
    <w:rPr>
      <w:sz w:val="22"/>
      <w:szCs w:val="22"/>
      <w:lang w:bidi="it-IT"/>
    </w:rPr>
  </w:style>
  <w:style w:type="table" w:styleId="Grigliatabella">
    <w:name w:val="Table Grid"/>
    <w:basedOn w:val="Tabellanormale"/>
    <w:uiPriority w:val="59"/>
    <w:rsid w:val="00C14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0"/>
    <w:lsdException w:name="footer" w:unhideWhenUsed="0"/>
    <w:lsdException w:name="caption" w:qFormat="1"/>
    <w:lsdException w:name="footnote reference" w:uiPriority="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4FAB"/>
    <w:pPr>
      <w:autoSpaceDE w:val="0"/>
      <w:autoSpaceDN w:val="0"/>
    </w:pPr>
    <w:rPr>
      <w:rFonts w:ascii="Times New Roman" w:hAnsi="Times New Roman"/>
    </w:rPr>
  </w:style>
  <w:style w:type="paragraph" w:styleId="Titolo1">
    <w:name w:val="heading 1"/>
    <w:basedOn w:val="Normale"/>
    <w:next w:val="Normale"/>
    <w:link w:val="Titolo1Carattere"/>
    <w:uiPriority w:val="9"/>
    <w:qFormat/>
    <w:rsid w:val="005B4FAB"/>
    <w:pPr>
      <w:keepNext/>
      <w:widowControl w:val="0"/>
      <w:jc w:val="both"/>
      <w:outlineLvl w:val="0"/>
    </w:pPr>
    <w:rPr>
      <w:rFonts w:ascii="Cambria" w:hAnsi="Cambria"/>
      <w:b/>
      <w:bCs/>
      <w:kern w:val="32"/>
      <w:sz w:val="32"/>
      <w:szCs w:val="32"/>
    </w:rPr>
  </w:style>
  <w:style w:type="paragraph" w:styleId="Titolo2">
    <w:name w:val="heading 2"/>
    <w:basedOn w:val="Normale"/>
    <w:next w:val="Normale"/>
    <w:link w:val="Titolo2Carattere"/>
    <w:uiPriority w:val="9"/>
    <w:qFormat/>
    <w:rsid w:val="005B4FAB"/>
    <w:pPr>
      <w:keepNext/>
      <w:widowControl w:val="0"/>
      <w:jc w:val="both"/>
      <w:outlineLvl w:val="1"/>
    </w:pPr>
    <w:rPr>
      <w:rFonts w:ascii="Cambria" w:hAnsi="Cambria"/>
      <w:b/>
      <w:bCs/>
      <w:i/>
      <w:iCs/>
      <w:sz w:val="28"/>
      <w:szCs w:val="28"/>
    </w:rPr>
  </w:style>
  <w:style w:type="paragraph" w:styleId="Titolo3">
    <w:name w:val="heading 3"/>
    <w:basedOn w:val="Normale"/>
    <w:next w:val="Normale"/>
    <w:link w:val="Titolo3Carattere"/>
    <w:uiPriority w:val="9"/>
    <w:qFormat/>
    <w:rsid w:val="005B4FAB"/>
    <w:pPr>
      <w:keepNext/>
      <w:widowControl w:val="0"/>
      <w:ind w:left="567"/>
      <w:outlineLvl w:val="2"/>
    </w:pPr>
    <w:rPr>
      <w:rFonts w:ascii="Cambria" w:hAnsi="Cambria"/>
      <w:b/>
      <w:bCs/>
      <w:sz w:val="26"/>
      <w:szCs w:val="26"/>
    </w:rPr>
  </w:style>
  <w:style w:type="paragraph" w:styleId="Titolo4">
    <w:name w:val="heading 4"/>
    <w:basedOn w:val="Normale"/>
    <w:next w:val="Normale"/>
    <w:link w:val="Titolo4Carattere"/>
    <w:uiPriority w:val="9"/>
    <w:qFormat/>
    <w:rsid w:val="00EF64CD"/>
    <w:pPr>
      <w:keepNext/>
      <w:widowControl w:val="0"/>
      <w:ind w:left="1985"/>
      <w:outlineLvl w:val="3"/>
    </w:pPr>
    <w:rPr>
      <w:rFonts w:ascii="Calibri" w:hAnsi="Calibri"/>
      <w:b/>
      <w:bCs/>
      <w:sz w:val="28"/>
      <w:szCs w:val="28"/>
    </w:rPr>
  </w:style>
  <w:style w:type="paragraph" w:styleId="Titolo5">
    <w:name w:val="heading 5"/>
    <w:basedOn w:val="Normale"/>
    <w:next w:val="Normale"/>
    <w:link w:val="Titolo5Carattere"/>
    <w:uiPriority w:val="9"/>
    <w:qFormat/>
    <w:rsid w:val="005B4FAB"/>
    <w:pPr>
      <w:keepNext/>
      <w:outlineLvl w:val="4"/>
    </w:pPr>
    <w:rPr>
      <w:rFonts w:ascii="Calibri" w:hAnsi="Calibri"/>
      <w:b/>
      <w:bCs/>
      <w:i/>
      <w:iCs/>
      <w:sz w:val="26"/>
      <w:szCs w:val="26"/>
    </w:rPr>
  </w:style>
  <w:style w:type="paragraph" w:styleId="Titolo6">
    <w:name w:val="heading 6"/>
    <w:basedOn w:val="Normale"/>
    <w:next w:val="Normale"/>
    <w:link w:val="Titolo6Carattere"/>
    <w:uiPriority w:val="9"/>
    <w:qFormat/>
    <w:rsid w:val="005B4FAB"/>
    <w:pPr>
      <w:keepNext/>
      <w:outlineLvl w:val="5"/>
    </w:pPr>
    <w:rPr>
      <w:rFonts w:ascii="Calibri" w:hAnsi="Calibri"/>
      <w:b/>
      <w:bCs/>
    </w:rPr>
  </w:style>
  <w:style w:type="paragraph" w:styleId="Titolo7">
    <w:name w:val="heading 7"/>
    <w:basedOn w:val="Normale"/>
    <w:next w:val="Normale"/>
    <w:link w:val="Titolo7Carattere"/>
    <w:uiPriority w:val="9"/>
    <w:qFormat/>
    <w:rsid w:val="005B4FAB"/>
    <w:pPr>
      <w:keepNext/>
      <w:outlineLvl w:val="6"/>
    </w:pPr>
    <w:rPr>
      <w:rFonts w:ascii="Calibri" w:hAnsi="Calibri"/>
      <w:sz w:val="24"/>
      <w:szCs w:val="24"/>
    </w:rPr>
  </w:style>
  <w:style w:type="paragraph" w:styleId="Titolo8">
    <w:name w:val="heading 8"/>
    <w:basedOn w:val="Normale"/>
    <w:next w:val="Normale"/>
    <w:link w:val="Titolo8Carattere"/>
    <w:uiPriority w:val="9"/>
    <w:qFormat/>
    <w:rsid w:val="005B4FAB"/>
    <w:pPr>
      <w:keepNext/>
      <w:jc w:val="center"/>
      <w:outlineLvl w:val="7"/>
    </w:pPr>
    <w:rPr>
      <w:rFonts w:ascii="Calibri" w:hAnsi="Calibri"/>
      <w:i/>
      <w:iCs/>
      <w:sz w:val="24"/>
      <w:szCs w:val="24"/>
    </w:rPr>
  </w:style>
  <w:style w:type="paragraph" w:styleId="Titolo9">
    <w:name w:val="heading 9"/>
    <w:basedOn w:val="Normale"/>
    <w:next w:val="Normale"/>
    <w:link w:val="Titolo9Carattere"/>
    <w:uiPriority w:val="9"/>
    <w:qFormat/>
    <w:rsid w:val="005B4FAB"/>
    <w:pPr>
      <w:keepNext/>
      <w:ind w:left="1701"/>
      <w:outlineLvl w:val="8"/>
    </w:pPr>
    <w:rPr>
      <w:rFonts w:ascii="Cambria"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5B4FAB"/>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5B4FAB"/>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5B4FAB"/>
    <w:rPr>
      <w:rFonts w:ascii="Cambria" w:eastAsia="Times New Roman" w:hAnsi="Cambria" w:cs="Times New Roman"/>
      <w:b/>
      <w:bCs/>
      <w:sz w:val="26"/>
      <w:szCs w:val="26"/>
    </w:rPr>
  </w:style>
  <w:style w:type="character" w:customStyle="1" w:styleId="Titolo4Carattere">
    <w:name w:val="Titolo 4 Carattere"/>
    <w:link w:val="Titolo4"/>
    <w:uiPriority w:val="9"/>
    <w:rsid w:val="00EF64CD"/>
    <w:rPr>
      <w:b/>
      <w:bCs/>
      <w:sz w:val="28"/>
      <w:szCs w:val="28"/>
    </w:rPr>
  </w:style>
  <w:style w:type="character" w:customStyle="1" w:styleId="Titolo5Carattere">
    <w:name w:val="Titolo 5 Carattere"/>
    <w:link w:val="Titolo5"/>
    <w:uiPriority w:val="9"/>
    <w:semiHidden/>
    <w:rsid w:val="005B4FAB"/>
    <w:rPr>
      <w:b/>
      <w:bCs/>
      <w:i/>
      <w:iCs/>
      <w:sz w:val="26"/>
      <w:szCs w:val="26"/>
    </w:rPr>
  </w:style>
  <w:style w:type="character" w:customStyle="1" w:styleId="Titolo6Carattere">
    <w:name w:val="Titolo 6 Carattere"/>
    <w:link w:val="Titolo6"/>
    <w:uiPriority w:val="9"/>
    <w:semiHidden/>
    <w:rsid w:val="005B4FAB"/>
    <w:rPr>
      <w:b/>
      <w:bCs/>
    </w:rPr>
  </w:style>
  <w:style w:type="character" w:customStyle="1" w:styleId="Titolo7Carattere">
    <w:name w:val="Titolo 7 Carattere"/>
    <w:link w:val="Titolo7"/>
    <w:uiPriority w:val="9"/>
    <w:semiHidden/>
    <w:rsid w:val="005B4FAB"/>
    <w:rPr>
      <w:sz w:val="24"/>
      <w:szCs w:val="24"/>
    </w:rPr>
  </w:style>
  <w:style w:type="character" w:customStyle="1" w:styleId="Titolo8Carattere">
    <w:name w:val="Titolo 8 Carattere"/>
    <w:link w:val="Titolo8"/>
    <w:uiPriority w:val="9"/>
    <w:semiHidden/>
    <w:rsid w:val="005B4FAB"/>
    <w:rPr>
      <w:i/>
      <w:iCs/>
      <w:sz w:val="24"/>
      <w:szCs w:val="24"/>
    </w:rPr>
  </w:style>
  <w:style w:type="character" w:customStyle="1" w:styleId="Titolo9Carattere">
    <w:name w:val="Titolo 9 Carattere"/>
    <w:link w:val="Titolo9"/>
    <w:uiPriority w:val="9"/>
    <w:semiHidden/>
    <w:rsid w:val="005B4FAB"/>
    <w:rPr>
      <w:rFonts w:ascii="Cambria" w:eastAsia="Times New Roman" w:hAnsi="Cambria" w:cs="Times New Roman"/>
    </w:rPr>
  </w:style>
  <w:style w:type="paragraph" w:styleId="Intestazione">
    <w:name w:val="header"/>
    <w:basedOn w:val="Normale"/>
    <w:link w:val="IntestazioneCarattere"/>
    <w:uiPriority w:val="99"/>
    <w:rsid w:val="005B4FAB"/>
    <w:pPr>
      <w:tabs>
        <w:tab w:val="center" w:pos="4819"/>
        <w:tab w:val="right" w:pos="9638"/>
      </w:tabs>
    </w:pPr>
  </w:style>
  <w:style w:type="character" w:customStyle="1" w:styleId="IntestazioneCarattere">
    <w:name w:val="Intestazione Carattere"/>
    <w:link w:val="Intestazione"/>
    <w:uiPriority w:val="99"/>
    <w:semiHidden/>
    <w:rsid w:val="005B4FAB"/>
    <w:rPr>
      <w:rFonts w:ascii="Times New Roman" w:hAnsi="Times New Roman" w:cs="Times New Roman"/>
      <w:sz w:val="20"/>
      <w:szCs w:val="20"/>
    </w:rPr>
  </w:style>
  <w:style w:type="paragraph" w:styleId="Pidipagina">
    <w:name w:val="footer"/>
    <w:basedOn w:val="Normale"/>
    <w:link w:val="PidipaginaCarattere"/>
    <w:uiPriority w:val="99"/>
    <w:rsid w:val="005B4FAB"/>
    <w:pPr>
      <w:tabs>
        <w:tab w:val="center" w:pos="4819"/>
        <w:tab w:val="right" w:pos="9638"/>
      </w:tabs>
    </w:pPr>
  </w:style>
  <w:style w:type="character" w:customStyle="1" w:styleId="PidipaginaCarattere">
    <w:name w:val="Piè di pagina Carattere"/>
    <w:link w:val="Pidipagina"/>
    <w:uiPriority w:val="99"/>
    <w:rsid w:val="005B4FAB"/>
    <w:rPr>
      <w:rFonts w:ascii="Times New Roman" w:hAnsi="Times New Roman" w:cs="Times New Roman"/>
      <w:sz w:val="20"/>
      <w:szCs w:val="20"/>
    </w:rPr>
  </w:style>
  <w:style w:type="character" w:styleId="Numeropagina">
    <w:name w:val="page number"/>
    <w:basedOn w:val="Carpredefinitoparagrafo"/>
    <w:uiPriority w:val="99"/>
    <w:rsid w:val="005B4FAB"/>
  </w:style>
  <w:style w:type="paragraph" w:styleId="Corpodeltesto2">
    <w:name w:val="Body Text 2"/>
    <w:basedOn w:val="Normale"/>
    <w:link w:val="Corpodeltesto2Carattere"/>
    <w:uiPriority w:val="99"/>
    <w:rsid w:val="005B4FAB"/>
  </w:style>
  <w:style w:type="character" w:customStyle="1" w:styleId="Corpodeltesto2Carattere">
    <w:name w:val="Corpo del testo 2 Carattere"/>
    <w:link w:val="Corpodeltesto2"/>
    <w:uiPriority w:val="99"/>
    <w:rsid w:val="005B4FAB"/>
    <w:rPr>
      <w:rFonts w:ascii="Times New Roman" w:hAnsi="Times New Roman" w:cs="Times New Roman"/>
      <w:sz w:val="20"/>
      <w:szCs w:val="20"/>
    </w:rPr>
  </w:style>
  <w:style w:type="paragraph" w:styleId="Rientrocorpodeltesto2">
    <w:name w:val="Body Text Indent 2"/>
    <w:basedOn w:val="Normale"/>
    <w:link w:val="Rientrocorpodeltesto2Carattere"/>
    <w:uiPriority w:val="99"/>
    <w:rsid w:val="005B4FAB"/>
    <w:pPr>
      <w:widowControl w:val="0"/>
      <w:ind w:left="1700"/>
      <w:jc w:val="both"/>
    </w:pPr>
  </w:style>
  <w:style w:type="character" w:customStyle="1" w:styleId="Rientrocorpodeltesto2Carattere">
    <w:name w:val="Rientro corpo del testo 2 Carattere"/>
    <w:link w:val="Rientrocorpodeltesto2"/>
    <w:uiPriority w:val="99"/>
    <w:rsid w:val="005B4FAB"/>
    <w:rPr>
      <w:rFonts w:ascii="Times New Roman" w:hAnsi="Times New Roman" w:cs="Times New Roman"/>
      <w:sz w:val="20"/>
      <w:szCs w:val="20"/>
    </w:rPr>
  </w:style>
  <w:style w:type="paragraph" w:customStyle="1" w:styleId="Corpodeltesto1">
    <w:name w:val="Corpo del testo1"/>
    <w:basedOn w:val="Normale"/>
    <w:link w:val="CorpodeltestoCarattere"/>
    <w:uiPriority w:val="99"/>
    <w:rsid w:val="005B4FAB"/>
    <w:pPr>
      <w:jc w:val="both"/>
    </w:pPr>
  </w:style>
  <w:style w:type="character" w:customStyle="1" w:styleId="CorpodeltestoCarattere">
    <w:name w:val="Corpo del testo Carattere"/>
    <w:link w:val="Corpodeltesto1"/>
    <w:uiPriority w:val="99"/>
    <w:semiHidden/>
    <w:rsid w:val="005B4FAB"/>
    <w:rPr>
      <w:rFonts w:ascii="Times New Roman" w:hAnsi="Times New Roman" w:cs="Times New Roman"/>
      <w:sz w:val="20"/>
      <w:szCs w:val="20"/>
    </w:rPr>
  </w:style>
  <w:style w:type="character" w:customStyle="1" w:styleId="grame">
    <w:name w:val="grame"/>
    <w:basedOn w:val="Carpredefinitoparagrafo"/>
    <w:uiPriority w:val="99"/>
    <w:rsid w:val="005B4FAB"/>
  </w:style>
  <w:style w:type="paragraph" w:styleId="Rientrocorpodeltesto3">
    <w:name w:val="Body Text Indent 3"/>
    <w:basedOn w:val="Normale"/>
    <w:link w:val="Rientrocorpodeltesto3Carattere"/>
    <w:uiPriority w:val="99"/>
    <w:rsid w:val="005B4FAB"/>
    <w:pPr>
      <w:widowControl w:val="0"/>
      <w:ind w:left="1701"/>
      <w:jc w:val="both"/>
    </w:pPr>
    <w:rPr>
      <w:sz w:val="16"/>
      <w:szCs w:val="16"/>
    </w:rPr>
  </w:style>
  <w:style w:type="character" w:customStyle="1" w:styleId="Rientrocorpodeltesto3Carattere">
    <w:name w:val="Rientro corpo del testo 3 Carattere"/>
    <w:link w:val="Rientrocorpodeltesto3"/>
    <w:uiPriority w:val="99"/>
    <w:semiHidden/>
    <w:rsid w:val="005B4FAB"/>
    <w:rPr>
      <w:rFonts w:ascii="Times New Roman" w:hAnsi="Times New Roman" w:cs="Times New Roman"/>
      <w:sz w:val="16"/>
      <w:szCs w:val="16"/>
    </w:rPr>
  </w:style>
  <w:style w:type="paragraph" w:styleId="Corpodeltesto3">
    <w:name w:val="Body Text 3"/>
    <w:basedOn w:val="Normale"/>
    <w:link w:val="Corpodeltesto3Carattere"/>
    <w:uiPriority w:val="99"/>
    <w:rsid w:val="005B4FAB"/>
    <w:pPr>
      <w:widowControl w:val="0"/>
      <w:jc w:val="both"/>
    </w:pPr>
    <w:rPr>
      <w:sz w:val="16"/>
      <w:szCs w:val="16"/>
    </w:rPr>
  </w:style>
  <w:style w:type="character" w:customStyle="1" w:styleId="Corpodeltesto3Carattere">
    <w:name w:val="Corpo del testo 3 Carattere"/>
    <w:link w:val="Corpodeltesto3"/>
    <w:uiPriority w:val="99"/>
    <w:semiHidden/>
    <w:rsid w:val="005B4FAB"/>
    <w:rPr>
      <w:rFonts w:ascii="Times New Roman" w:hAnsi="Times New Roman" w:cs="Times New Roman"/>
      <w:sz w:val="16"/>
      <w:szCs w:val="16"/>
    </w:rPr>
  </w:style>
  <w:style w:type="paragraph" w:styleId="NormaleWeb">
    <w:name w:val="Normal (Web)"/>
    <w:basedOn w:val="Normale"/>
    <w:uiPriority w:val="99"/>
    <w:unhideWhenUsed/>
    <w:rsid w:val="00064CD8"/>
    <w:pPr>
      <w:autoSpaceDE/>
      <w:autoSpaceDN/>
      <w:spacing w:before="100" w:beforeAutospacing="1" w:after="119"/>
    </w:pPr>
    <w:rPr>
      <w:sz w:val="24"/>
      <w:szCs w:val="24"/>
    </w:rPr>
  </w:style>
  <w:style w:type="paragraph" w:styleId="Testodelblocco">
    <w:name w:val="Block Text"/>
    <w:basedOn w:val="Normale"/>
    <w:uiPriority w:val="99"/>
    <w:rsid w:val="00FA467E"/>
    <w:pPr>
      <w:widowControl w:val="0"/>
      <w:ind w:left="1700" w:right="1"/>
      <w:jc w:val="both"/>
    </w:pPr>
    <w:rPr>
      <w:color w:val="000000"/>
      <w:sz w:val="24"/>
      <w:szCs w:val="24"/>
    </w:rPr>
  </w:style>
  <w:style w:type="paragraph" w:customStyle="1" w:styleId="Testataparagrafo">
    <w:name w:val="Testata paragrafo"/>
    <w:basedOn w:val="Normale"/>
    <w:uiPriority w:val="99"/>
    <w:rsid w:val="00FA467E"/>
    <w:pPr>
      <w:widowControl w:val="0"/>
      <w:shd w:val="pct15" w:color="auto" w:fill="FFFFFF"/>
      <w:jc w:val="both"/>
    </w:pPr>
    <w:rPr>
      <w:b/>
      <w:bCs/>
      <w:color w:val="000080"/>
      <w:sz w:val="24"/>
      <w:szCs w:val="24"/>
    </w:rPr>
  </w:style>
  <w:style w:type="paragraph" w:customStyle="1" w:styleId="Intestazione-pidicolonna">
    <w:name w:val="Intestazione- piè di colonna"/>
    <w:basedOn w:val="Normale"/>
    <w:uiPriority w:val="99"/>
    <w:rsid w:val="00FA467E"/>
    <w:pPr>
      <w:widowControl w:val="0"/>
      <w:shd w:val="pct5" w:color="auto" w:fill="FFFFFF"/>
      <w:jc w:val="center"/>
    </w:pPr>
    <w:rPr>
      <w:rFonts w:ascii="Arial" w:hAnsi="Arial" w:cs="Arial"/>
      <w:b/>
      <w:bCs/>
      <w:color w:val="000000"/>
      <w:sz w:val="18"/>
      <w:szCs w:val="18"/>
    </w:rPr>
  </w:style>
  <w:style w:type="paragraph" w:customStyle="1" w:styleId="Intestazione-picolonna2">
    <w:name w:val="Intestazione- piè colonna 2"/>
    <w:basedOn w:val="Normale"/>
    <w:uiPriority w:val="99"/>
    <w:rsid w:val="00FA467E"/>
    <w:pPr>
      <w:widowControl w:val="0"/>
      <w:shd w:val="pct5" w:color="auto" w:fill="FFFFFF"/>
    </w:pPr>
    <w:rPr>
      <w:color w:val="000000"/>
      <w:sz w:val="24"/>
      <w:szCs w:val="24"/>
    </w:rPr>
  </w:style>
  <w:style w:type="paragraph" w:styleId="Didascalia">
    <w:name w:val="caption"/>
    <w:basedOn w:val="Normale"/>
    <w:next w:val="Normale"/>
    <w:uiPriority w:val="99"/>
    <w:qFormat/>
    <w:rsid w:val="00FA467E"/>
    <w:pPr>
      <w:widowControl w:val="0"/>
      <w:ind w:left="1700" w:right="1"/>
      <w:jc w:val="both"/>
    </w:pPr>
    <w:rPr>
      <w:i/>
      <w:iCs/>
      <w:color w:val="000000"/>
      <w:sz w:val="24"/>
      <w:szCs w:val="24"/>
    </w:rPr>
  </w:style>
  <w:style w:type="character" w:styleId="Rimandocommento">
    <w:name w:val="annotation reference"/>
    <w:uiPriority w:val="99"/>
    <w:rsid w:val="00FA467E"/>
    <w:rPr>
      <w:sz w:val="16"/>
      <w:szCs w:val="16"/>
    </w:rPr>
  </w:style>
  <w:style w:type="paragraph" w:styleId="Testocommento">
    <w:name w:val="annotation text"/>
    <w:basedOn w:val="Normale"/>
    <w:link w:val="TestocommentoCarattere"/>
    <w:uiPriority w:val="99"/>
    <w:rsid w:val="00FA467E"/>
  </w:style>
  <w:style w:type="character" w:customStyle="1" w:styleId="TestocommentoCarattere">
    <w:name w:val="Testo commento Carattere"/>
    <w:link w:val="Testocommento"/>
    <w:uiPriority w:val="99"/>
    <w:rsid w:val="00FA467E"/>
    <w:rPr>
      <w:rFonts w:ascii="Times New Roman" w:eastAsia="Times New Roman" w:hAnsi="Times New Roman" w:cs="Times New Roman"/>
      <w:sz w:val="20"/>
      <w:szCs w:val="20"/>
    </w:rPr>
  </w:style>
  <w:style w:type="paragraph" w:styleId="Mappadocumento">
    <w:name w:val="Document Map"/>
    <w:basedOn w:val="Normale"/>
    <w:link w:val="MappadocumentoCarattere"/>
    <w:uiPriority w:val="99"/>
    <w:rsid w:val="00FA467E"/>
    <w:pPr>
      <w:shd w:val="clear" w:color="auto" w:fill="000080"/>
    </w:pPr>
    <w:rPr>
      <w:rFonts w:ascii="Tahoma" w:hAnsi="Tahoma"/>
    </w:rPr>
  </w:style>
  <w:style w:type="character" w:customStyle="1" w:styleId="MappadocumentoCarattere">
    <w:name w:val="Mappa documento Carattere"/>
    <w:link w:val="Mappadocumento"/>
    <w:uiPriority w:val="99"/>
    <w:rsid w:val="00FA467E"/>
    <w:rPr>
      <w:rFonts w:ascii="Tahoma" w:eastAsia="Times New Roman" w:hAnsi="Tahoma" w:cs="Tahoma"/>
      <w:sz w:val="20"/>
      <w:szCs w:val="20"/>
      <w:shd w:val="clear" w:color="auto" w:fill="000080"/>
    </w:rPr>
  </w:style>
  <w:style w:type="paragraph" w:styleId="Paragrafoelenco">
    <w:name w:val="List Paragraph"/>
    <w:basedOn w:val="Normale"/>
    <w:uiPriority w:val="34"/>
    <w:qFormat/>
    <w:rsid w:val="00FA467E"/>
    <w:pPr>
      <w:ind w:left="720"/>
    </w:pPr>
  </w:style>
  <w:style w:type="paragraph" w:customStyle="1" w:styleId="western">
    <w:name w:val="western"/>
    <w:basedOn w:val="Normale"/>
    <w:rsid w:val="00FA467E"/>
    <w:pPr>
      <w:autoSpaceDE/>
      <w:autoSpaceDN/>
      <w:spacing w:before="100" w:beforeAutospacing="1"/>
      <w:ind w:left="119"/>
    </w:pPr>
    <w:rPr>
      <w:sz w:val="24"/>
      <w:szCs w:val="24"/>
    </w:rPr>
  </w:style>
  <w:style w:type="paragraph" w:styleId="Testofumetto">
    <w:name w:val="Balloon Text"/>
    <w:basedOn w:val="Normale"/>
    <w:link w:val="TestofumettoCarattere"/>
    <w:uiPriority w:val="99"/>
    <w:semiHidden/>
    <w:unhideWhenUsed/>
    <w:rsid w:val="00CB454C"/>
    <w:rPr>
      <w:rFonts w:ascii="Tahoma" w:hAnsi="Tahoma"/>
      <w:sz w:val="16"/>
      <w:szCs w:val="16"/>
    </w:rPr>
  </w:style>
  <w:style w:type="character" w:customStyle="1" w:styleId="TestofumettoCarattere">
    <w:name w:val="Testo fumetto Carattere"/>
    <w:link w:val="Testofumetto"/>
    <w:uiPriority w:val="99"/>
    <w:semiHidden/>
    <w:rsid w:val="00CB454C"/>
    <w:rPr>
      <w:rFonts w:ascii="Tahoma" w:hAnsi="Tahoma" w:cs="Tahoma"/>
      <w:sz w:val="16"/>
      <w:szCs w:val="16"/>
    </w:rPr>
  </w:style>
  <w:style w:type="character" w:styleId="Collegamentoipertestuale">
    <w:name w:val="Hyperlink"/>
    <w:uiPriority w:val="99"/>
    <w:unhideWhenUsed/>
    <w:rsid w:val="005029DC"/>
    <w:rPr>
      <w:color w:val="0000FF"/>
      <w:u w:val="single"/>
    </w:rPr>
  </w:style>
  <w:style w:type="paragraph" w:styleId="Nessunaspaziatura">
    <w:name w:val="No Spacing"/>
    <w:link w:val="NessunaspaziaturaCarattere"/>
    <w:uiPriority w:val="1"/>
    <w:qFormat/>
    <w:rsid w:val="00795AC1"/>
    <w:rPr>
      <w:sz w:val="22"/>
      <w:szCs w:val="22"/>
    </w:rPr>
  </w:style>
  <w:style w:type="character" w:customStyle="1" w:styleId="NessunaspaziaturaCarattere">
    <w:name w:val="Nessuna spaziatura Carattere"/>
    <w:link w:val="Nessunaspaziatura"/>
    <w:uiPriority w:val="1"/>
    <w:rsid w:val="00795AC1"/>
    <w:rPr>
      <w:sz w:val="22"/>
      <w:szCs w:val="22"/>
      <w:lang w:bidi="ar-SA"/>
    </w:rPr>
  </w:style>
  <w:style w:type="paragraph" w:customStyle="1" w:styleId="TITOLO10">
    <w:name w:val="TITOLO1"/>
    <w:basedOn w:val="Normale"/>
    <w:qFormat/>
    <w:rsid w:val="006B32BB"/>
    <w:pPr>
      <w:keepNext/>
      <w:widowControl w:val="0"/>
      <w:spacing w:after="320"/>
      <w:jc w:val="center"/>
      <w:outlineLvl w:val="0"/>
    </w:pPr>
    <w:rPr>
      <w:rFonts w:ascii="Arial" w:hAnsi="Arial"/>
      <w:b/>
      <w:caps/>
      <w:color w:val="000000"/>
      <w:sz w:val="28"/>
      <w:szCs w:val="28"/>
    </w:rPr>
  </w:style>
  <w:style w:type="paragraph" w:customStyle="1" w:styleId="TITOLO20">
    <w:name w:val="TITOLO 2"/>
    <w:basedOn w:val="Normale"/>
    <w:qFormat/>
    <w:rsid w:val="00A316D4"/>
    <w:pPr>
      <w:keepNext/>
      <w:spacing w:after="200"/>
      <w:outlineLvl w:val="2"/>
    </w:pPr>
    <w:rPr>
      <w:rFonts w:ascii="Arial" w:hAnsi="Arial" w:cs="Arial"/>
      <w:b/>
      <w:bCs/>
      <w:color w:val="000000"/>
      <w:sz w:val="28"/>
      <w:szCs w:val="28"/>
    </w:rPr>
  </w:style>
  <w:style w:type="paragraph" w:customStyle="1" w:styleId="TITOLO30">
    <w:name w:val="TITOLO 3"/>
    <w:basedOn w:val="TITOLO20"/>
    <w:qFormat/>
    <w:rsid w:val="00D735B3"/>
    <w:pPr>
      <w:pBdr>
        <w:top w:val="single" w:sz="4" w:space="1" w:color="auto"/>
        <w:left w:val="single" w:sz="4" w:space="4" w:color="auto"/>
        <w:bottom w:val="single" w:sz="4" w:space="1" w:color="auto"/>
        <w:right w:val="single" w:sz="4" w:space="4" w:color="auto"/>
      </w:pBdr>
    </w:pPr>
  </w:style>
  <w:style w:type="paragraph" w:customStyle="1" w:styleId="TITOLO40">
    <w:name w:val="TITOLO 4"/>
    <w:basedOn w:val="Normale"/>
    <w:qFormat/>
    <w:rsid w:val="00ED0AE6"/>
    <w:pPr>
      <w:keepNext/>
      <w:widowControl w:val="0"/>
      <w:spacing w:after="200"/>
      <w:outlineLvl w:val="3"/>
    </w:pPr>
    <w:rPr>
      <w:rFonts w:ascii="Arial" w:hAnsi="Arial" w:cs="Arial"/>
      <w:b/>
      <w:bCs/>
      <w:color w:val="000000"/>
      <w:sz w:val="28"/>
      <w:szCs w:val="28"/>
    </w:rPr>
  </w:style>
  <w:style w:type="paragraph" w:styleId="Titolosommario">
    <w:name w:val="TOC Heading"/>
    <w:basedOn w:val="Titolo1"/>
    <w:next w:val="Normale"/>
    <w:uiPriority w:val="39"/>
    <w:unhideWhenUsed/>
    <w:qFormat/>
    <w:rsid w:val="00662626"/>
    <w:pPr>
      <w:keepLines/>
      <w:widowControl/>
      <w:autoSpaceDE/>
      <w:autoSpaceDN/>
      <w:spacing w:before="240" w:line="259" w:lineRule="auto"/>
      <w:jc w:val="left"/>
      <w:outlineLvl w:val="9"/>
    </w:pPr>
    <w:rPr>
      <w:rFonts w:ascii="Calibri Light" w:hAnsi="Calibri Light"/>
      <w:b w:val="0"/>
      <w:bCs w:val="0"/>
      <w:color w:val="2F5496"/>
      <w:kern w:val="0"/>
    </w:rPr>
  </w:style>
  <w:style w:type="paragraph" w:styleId="Sommario1">
    <w:name w:val="toc 1"/>
    <w:basedOn w:val="Normale"/>
    <w:next w:val="Normale"/>
    <w:autoRedefine/>
    <w:uiPriority w:val="39"/>
    <w:unhideWhenUsed/>
    <w:rsid w:val="00FD5C3D"/>
    <w:pPr>
      <w:spacing w:before="120" w:after="120"/>
    </w:pPr>
    <w:rPr>
      <w:rFonts w:ascii="Arial" w:hAnsi="Arial"/>
      <w:b/>
      <w:bCs/>
      <w:caps/>
    </w:rPr>
  </w:style>
  <w:style w:type="paragraph" w:styleId="Sommario2">
    <w:name w:val="toc 2"/>
    <w:basedOn w:val="Normale"/>
    <w:next w:val="Normale"/>
    <w:autoRedefine/>
    <w:uiPriority w:val="39"/>
    <w:unhideWhenUsed/>
    <w:rsid w:val="00FD5C3D"/>
    <w:pPr>
      <w:ind w:left="200"/>
    </w:pPr>
    <w:rPr>
      <w:rFonts w:ascii="Arial" w:hAnsi="Arial"/>
      <w:smallCaps/>
    </w:rPr>
  </w:style>
  <w:style w:type="paragraph" w:styleId="Sommario3">
    <w:name w:val="toc 3"/>
    <w:basedOn w:val="Normale"/>
    <w:next w:val="Normale"/>
    <w:autoRedefine/>
    <w:uiPriority w:val="39"/>
    <w:unhideWhenUsed/>
    <w:rsid w:val="00FD5C3D"/>
    <w:pPr>
      <w:ind w:left="400"/>
    </w:pPr>
    <w:rPr>
      <w:rFonts w:ascii="Arial" w:hAnsi="Arial"/>
      <w:i/>
      <w:iCs/>
    </w:rPr>
  </w:style>
  <w:style w:type="paragraph" w:customStyle="1" w:styleId="TITOLO50">
    <w:name w:val="TITOLO 5"/>
    <w:basedOn w:val="Normale"/>
    <w:qFormat/>
    <w:rsid w:val="002A3613"/>
    <w:pPr>
      <w:keepNext/>
      <w:widowControl w:val="0"/>
      <w:spacing w:after="120"/>
      <w:jc w:val="both"/>
      <w:outlineLvl w:val="4"/>
    </w:pPr>
    <w:rPr>
      <w:rFonts w:ascii="Arial" w:hAnsi="Arial" w:cs="Arial"/>
      <w:b/>
      <w:i/>
      <w:iCs/>
      <w:color w:val="000000"/>
    </w:rPr>
  </w:style>
  <w:style w:type="paragraph" w:styleId="Sommario4">
    <w:name w:val="toc 4"/>
    <w:basedOn w:val="Normale"/>
    <w:next w:val="Normale"/>
    <w:autoRedefine/>
    <w:uiPriority w:val="39"/>
    <w:unhideWhenUsed/>
    <w:rsid w:val="00FD5C3D"/>
    <w:pPr>
      <w:ind w:left="600"/>
    </w:pPr>
    <w:rPr>
      <w:rFonts w:ascii="Arial" w:hAnsi="Arial"/>
      <w:sz w:val="18"/>
      <w:szCs w:val="18"/>
    </w:rPr>
  </w:style>
  <w:style w:type="paragraph" w:styleId="Revisione">
    <w:name w:val="Revision"/>
    <w:hidden/>
    <w:uiPriority w:val="99"/>
    <w:semiHidden/>
    <w:rsid w:val="00A667C8"/>
    <w:rPr>
      <w:rFonts w:ascii="Times New Roman" w:hAnsi="Times New Roman"/>
    </w:rPr>
  </w:style>
  <w:style w:type="paragraph" w:styleId="Testonotaapidipagina">
    <w:name w:val="footnote text"/>
    <w:aliases w:val="Testo nota a piè di pagina Carattere Carattere,Testo nota a piè di pagina Carattere Carattere Carattere Carattere,Testo nota a piè di pagina Carattere Carattere Carattere Carattere Carattere"/>
    <w:basedOn w:val="Normale"/>
    <w:link w:val="TestonotaapidipaginaCarattere"/>
    <w:semiHidden/>
    <w:rsid w:val="0071434D"/>
    <w:pPr>
      <w:autoSpaceDE/>
      <w:autoSpaceDN/>
      <w:spacing w:after="200" w:line="276" w:lineRule="auto"/>
    </w:pPr>
    <w:rPr>
      <w:rFonts w:ascii="Calibri" w:hAnsi="Calibri"/>
      <w:lang w:eastAsia="en-US"/>
    </w:rPr>
  </w:style>
  <w:style w:type="character" w:customStyle="1" w:styleId="TestonotaapidipaginaCarattere">
    <w:name w:val="Testo nota a piè di pagina Carattere"/>
    <w:aliases w:val="Testo nota a piè di pagina Carattere Carattere Carattere,Testo nota a piè di pagina Carattere Carattere Carattere Carattere Carattere1"/>
    <w:link w:val="Testonotaapidipagina"/>
    <w:semiHidden/>
    <w:rsid w:val="0071434D"/>
    <w:rPr>
      <w:lang w:eastAsia="en-US"/>
    </w:rPr>
  </w:style>
  <w:style w:type="character" w:styleId="Rimandonotaapidipagina">
    <w:name w:val="footnote reference"/>
    <w:aliases w:val="Rimando nota a piè di pagina 2"/>
    <w:semiHidden/>
    <w:rsid w:val="0071434D"/>
    <w:rPr>
      <w:rFonts w:cs="Times New Roman"/>
      <w:vertAlign w:val="superscript"/>
    </w:rPr>
  </w:style>
  <w:style w:type="paragraph" w:styleId="Sommario5">
    <w:name w:val="toc 5"/>
    <w:basedOn w:val="Normale"/>
    <w:next w:val="Normale"/>
    <w:autoRedefine/>
    <w:uiPriority w:val="39"/>
    <w:unhideWhenUsed/>
    <w:rsid w:val="00FD5C3D"/>
    <w:pPr>
      <w:ind w:left="800"/>
    </w:pPr>
    <w:rPr>
      <w:rFonts w:ascii="Arial" w:hAnsi="Arial"/>
      <w:sz w:val="18"/>
      <w:szCs w:val="18"/>
    </w:rPr>
  </w:style>
  <w:style w:type="paragraph" w:styleId="Sommario6">
    <w:name w:val="toc 6"/>
    <w:basedOn w:val="Normale"/>
    <w:next w:val="Normale"/>
    <w:autoRedefine/>
    <w:uiPriority w:val="39"/>
    <w:unhideWhenUsed/>
    <w:rsid w:val="00FD5C3D"/>
    <w:pPr>
      <w:ind w:left="1000"/>
    </w:pPr>
    <w:rPr>
      <w:rFonts w:ascii="Arial" w:hAnsi="Arial"/>
      <w:sz w:val="18"/>
      <w:szCs w:val="18"/>
    </w:rPr>
  </w:style>
  <w:style w:type="paragraph" w:styleId="Sommario7">
    <w:name w:val="toc 7"/>
    <w:basedOn w:val="Normale"/>
    <w:next w:val="Normale"/>
    <w:autoRedefine/>
    <w:uiPriority w:val="39"/>
    <w:unhideWhenUsed/>
    <w:rsid w:val="00FD5C3D"/>
    <w:pPr>
      <w:ind w:left="1200"/>
    </w:pPr>
    <w:rPr>
      <w:rFonts w:ascii="Arial" w:hAnsi="Arial"/>
      <w:sz w:val="18"/>
      <w:szCs w:val="18"/>
    </w:rPr>
  </w:style>
  <w:style w:type="paragraph" w:styleId="Sommario8">
    <w:name w:val="toc 8"/>
    <w:basedOn w:val="Normale"/>
    <w:next w:val="Normale"/>
    <w:autoRedefine/>
    <w:uiPriority w:val="39"/>
    <w:unhideWhenUsed/>
    <w:rsid w:val="00FD5C3D"/>
    <w:pPr>
      <w:ind w:left="1400"/>
    </w:pPr>
    <w:rPr>
      <w:rFonts w:ascii="Arial" w:hAnsi="Arial"/>
      <w:sz w:val="18"/>
      <w:szCs w:val="18"/>
    </w:rPr>
  </w:style>
  <w:style w:type="paragraph" w:styleId="Sommario9">
    <w:name w:val="toc 9"/>
    <w:basedOn w:val="Normale"/>
    <w:next w:val="Normale"/>
    <w:autoRedefine/>
    <w:uiPriority w:val="39"/>
    <w:unhideWhenUsed/>
    <w:rsid w:val="00FD5C3D"/>
    <w:pPr>
      <w:ind w:left="1600"/>
    </w:pPr>
    <w:rPr>
      <w:rFonts w:ascii="Arial" w:hAnsi="Arial"/>
      <w:sz w:val="18"/>
      <w:szCs w:val="18"/>
    </w:rPr>
  </w:style>
  <w:style w:type="paragraph" w:styleId="Corpotesto">
    <w:name w:val="Body Text"/>
    <w:basedOn w:val="Normale"/>
    <w:link w:val="CorpotestoCarattere"/>
    <w:uiPriority w:val="99"/>
    <w:semiHidden/>
    <w:rsid w:val="00525D6D"/>
    <w:pPr>
      <w:spacing w:after="120"/>
    </w:pPr>
  </w:style>
  <w:style w:type="character" w:customStyle="1" w:styleId="CorpotestoCarattere">
    <w:name w:val="Corpo testo Carattere"/>
    <w:basedOn w:val="Carpredefinitoparagrafo"/>
    <w:link w:val="Corpotesto"/>
    <w:uiPriority w:val="99"/>
    <w:semiHidden/>
    <w:rsid w:val="00525D6D"/>
    <w:rPr>
      <w:rFonts w:ascii="Times New Roman" w:hAnsi="Times New Roman"/>
    </w:rPr>
  </w:style>
  <w:style w:type="table" w:customStyle="1" w:styleId="TableNormal">
    <w:name w:val="Table Normal"/>
    <w:uiPriority w:val="2"/>
    <w:semiHidden/>
    <w:unhideWhenUsed/>
    <w:qFormat/>
    <w:rsid w:val="00525D6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25D6D"/>
    <w:pPr>
      <w:widowControl w:val="0"/>
      <w:spacing w:before="16"/>
      <w:ind w:left="21"/>
    </w:pPr>
    <w:rPr>
      <w:sz w:val="22"/>
      <w:szCs w:val="22"/>
      <w:lang w:bidi="it-IT"/>
    </w:rPr>
  </w:style>
  <w:style w:type="table" w:styleId="Grigliatabella">
    <w:name w:val="Table Grid"/>
    <w:basedOn w:val="Tabellanormale"/>
    <w:uiPriority w:val="59"/>
    <w:rsid w:val="00C14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811">
      <w:bodyDiv w:val="1"/>
      <w:marLeft w:val="0"/>
      <w:marRight w:val="0"/>
      <w:marTop w:val="0"/>
      <w:marBottom w:val="0"/>
      <w:divBdr>
        <w:top w:val="none" w:sz="0" w:space="0" w:color="auto"/>
        <w:left w:val="none" w:sz="0" w:space="0" w:color="auto"/>
        <w:bottom w:val="none" w:sz="0" w:space="0" w:color="auto"/>
        <w:right w:val="none" w:sz="0" w:space="0" w:color="auto"/>
      </w:divBdr>
    </w:div>
    <w:div w:id="51275767">
      <w:bodyDiv w:val="1"/>
      <w:marLeft w:val="0"/>
      <w:marRight w:val="0"/>
      <w:marTop w:val="0"/>
      <w:marBottom w:val="0"/>
      <w:divBdr>
        <w:top w:val="none" w:sz="0" w:space="0" w:color="auto"/>
        <w:left w:val="none" w:sz="0" w:space="0" w:color="auto"/>
        <w:bottom w:val="none" w:sz="0" w:space="0" w:color="auto"/>
        <w:right w:val="none" w:sz="0" w:space="0" w:color="auto"/>
      </w:divBdr>
    </w:div>
    <w:div w:id="108479422">
      <w:bodyDiv w:val="1"/>
      <w:marLeft w:val="0"/>
      <w:marRight w:val="0"/>
      <w:marTop w:val="0"/>
      <w:marBottom w:val="0"/>
      <w:divBdr>
        <w:top w:val="none" w:sz="0" w:space="0" w:color="auto"/>
        <w:left w:val="none" w:sz="0" w:space="0" w:color="auto"/>
        <w:bottom w:val="none" w:sz="0" w:space="0" w:color="auto"/>
        <w:right w:val="none" w:sz="0" w:space="0" w:color="auto"/>
      </w:divBdr>
    </w:div>
    <w:div w:id="125903381">
      <w:bodyDiv w:val="1"/>
      <w:marLeft w:val="0"/>
      <w:marRight w:val="0"/>
      <w:marTop w:val="0"/>
      <w:marBottom w:val="0"/>
      <w:divBdr>
        <w:top w:val="none" w:sz="0" w:space="0" w:color="auto"/>
        <w:left w:val="none" w:sz="0" w:space="0" w:color="auto"/>
        <w:bottom w:val="none" w:sz="0" w:space="0" w:color="auto"/>
        <w:right w:val="none" w:sz="0" w:space="0" w:color="auto"/>
      </w:divBdr>
    </w:div>
    <w:div w:id="127402950">
      <w:bodyDiv w:val="1"/>
      <w:marLeft w:val="0"/>
      <w:marRight w:val="0"/>
      <w:marTop w:val="0"/>
      <w:marBottom w:val="0"/>
      <w:divBdr>
        <w:top w:val="none" w:sz="0" w:space="0" w:color="auto"/>
        <w:left w:val="none" w:sz="0" w:space="0" w:color="auto"/>
        <w:bottom w:val="none" w:sz="0" w:space="0" w:color="auto"/>
        <w:right w:val="none" w:sz="0" w:space="0" w:color="auto"/>
      </w:divBdr>
    </w:div>
    <w:div w:id="129791623">
      <w:bodyDiv w:val="1"/>
      <w:marLeft w:val="0"/>
      <w:marRight w:val="0"/>
      <w:marTop w:val="0"/>
      <w:marBottom w:val="0"/>
      <w:divBdr>
        <w:top w:val="none" w:sz="0" w:space="0" w:color="auto"/>
        <w:left w:val="none" w:sz="0" w:space="0" w:color="auto"/>
        <w:bottom w:val="none" w:sz="0" w:space="0" w:color="auto"/>
        <w:right w:val="none" w:sz="0" w:space="0" w:color="auto"/>
      </w:divBdr>
    </w:div>
    <w:div w:id="192545403">
      <w:bodyDiv w:val="1"/>
      <w:marLeft w:val="0"/>
      <w:marRight w:val="0"/>
      <w:marTop w:val="0"/>
      <w:marBottom w:val="0"/>
      <w:divBdr>
        <w:top w:val="none" w:sz="0" w:space="0" w:color="auto"/>
        <w:left w:val="none" w:sz="0" w:space="0" w:color="auto"/>
        <w:bottom w:val="none" w:sz="0" w:space="0" w:color="auto"/>
        <w:right w:val="none" w:sz="0" w:space="0" w:color="auto"/>
      </w:divBdr>
    </w:div>
    <w:div w:id="196309371">
      <w:bodyDiv w:val="1"/>
      <w:marLeft w:val="0"/>
      <w:marRight w:val="0"/>
      <w:marTop w:val="0"/>
      <w:marBottom w:val="0"/>
      <w:divBdr>
        <w:top w:val="none" w:sz="0" w:space="0" w:color="auto"/>
        <w:left w:val="none" w:sz="0" w:space="0" w:color="auto"/>
        <w:bottom w:val="none" w:sz="0" w:space="0" w:color="auto"/>
        <w:right w:val="none" w:sz="0" w:space="0" w:color="auto"/>
      </w:divBdr>
    </w:div>
    <w:div w:id="206530763">
      <w:bodyDiv w:val="1"/>
      <w:marLeft w:val="0"/>
      <w:marRight w:val="0"/>
      <w:marTop w:val="0"/>
      <w:marBottom w:val="0"/>
      <w:divBdr>
        <w:top w:val="none" w:sz="0" w:space="0" w:color="auto"/>
        <w:left w:val="none" w:sz="0" w:space="0" w:color="auto"/>
        <w:bottom w:val="none" w:sz="0" w:space="0" w:color="auto"/>
        <w:right w:val="none" w:sz="0" w:space="0" w:color="auto"/>
      </w:divBdr>
    </w:div>
    <w:div w:id="268590124">
      <w:bodyDiv w:val="1"/>
      <w:marLeft w:val="0"/>
      <w:marRight w:val="0"/>
      <w:marTop w:val="0"/>
      <w:marBottom w:val="0"/>
      <w:divBdr>
        <w:top w:val="none" w:sz="0" w:space="0" w:color="auto"/>
        <w:left w:val="none" w:sz="0" w:space="0" w:color="auto"/>
        <w:bottom w:val="none" w:sz="0" w:space="0" w:color="auto"/>
        <w:right w:val="none" w:sz="0" w:space="0" w:color="auto"/>
      </w:divBdr>
    </w:div>
    <w:div w:id="297491589">
      <w:bodyDiv w:val="1"/>
      <w:marLeft w:val="0"/>
      <w:marRight w:val="0"/>
      <w:marTop w:val="0"/>
      <w:marBottom w:val="0"/>
      <w:divBdr>
        <w:top w:val="none" w:sz="0" w:space="0" w:color="auto"/>
        <w:left w:val="none" w:sz="0" w:space="0" w:color="auto"/>
        <w:bottom w:val="none" w:sz="0" w:space="0" w:color="auto"/>
        <w:right w:val="none" w:sz="0" w:space="0" w:color="auto"/>
      </w:divBdr>
    </w:div>
    <w:div w:id="299966492">
      <w:bodyDiv w:val="1"/>
      <w:marLeft w:val="0"/>
      <w:marRight w:val="0"/>
      <w:marTop w:val="0"/>
      <w:marBottom w:val="0"/>
      <w:divBdr>
        <w:top w:val="none" w:sz="0" w:space="0" w:color="auto"/>
        <w:left w:val="none" w:sz="0" w:space="0" w:color="auto"/>
        <w:bottom w:val="none" w:sz="0" w:space="0" w:color="auto"/>
        <w:right w:val="none" w:sz="0" w:space="0" w:color="auto"/>
      </w:divBdr>
    </w:div>
    <w:div w:id="308172119">
      <w:bodyDiv w:val="1"/>
      <w:marLeft w:val="0"/>
      <w:marRight w:val="0"/>
      <w:marTop w:val="0"/>
      <w:marBottom w:val="0"/>
      <w:divBdr>
        <w:top w:val="none" w:sz="0" w:space="0" w:color="auto"/>
        <w:left w:val="none" w:sz="0" w:space="0" w:color="auto"/>
        <w:bottom w:val="none" w:sz="0" w:space="0" w:color="auto"/>
        <w:right w:val="none" w:sz="0" w:space="0" w:color="auto"/>
      </w:divBdr>
      <w:divsChild>
        <w:div w:id="1218010603">
          <w:marLeft w:val="360"/>
          <w:marRight w:val="0"/>
          <w:marTop w:val="200"/>
          <w:marBottom w:val="0"/>
          <w:divBdr>
            <w:top w:val="none" w:sz="0" w:space="0" w:color="auto"/>
            <w:left w:val="none" w:sz="0" w:space="0" w:color="auto"/>
            <w:bottom w:val="none" w:sz="0" w:space="0" w:color="auto"/>
            <w:right w:val="none" w:sz="0" w:space="0" w:color="auto"/>
          </w:divBdr>
        </w:div>
      </w:divsChild>
    </w:div>
    <w:div w:id="334235496">
      <w:bodyDiv w:val="1"/>
      <w:marLeft w:val="0"/>
      <w:marRight w:val="0"/>
      <w:marTop w:val="0"/>
      <w:marBottom w:val="0"/>
      <w:divBdr>
        <w:top w:val="none" w:sz="0" w:space="0" w:color="auto"/>
        <w:left w:val="none" w:sz="0" w:space="0" w:color="auto"/>
        <w:bottom w:val="none" w:sz="0" w:space="0" w:color="auto"/>
        <w:right w:val="none" w:sz="0" w:space="0" w:color="auto"/>
      </w:divBdr>
    </w:div>
    <w:div w:id="347677720">
      <w:bodyDiv w:val="1"/>
      <w:marLeft w:val="0"/>
      <w:marRight w:val="0"/>
      <w:marTop w:val="0"/>
      <w:marBottom w:val="0"/>
      <w:divBdr>
        <w:top w:val="none" w:sz="0" w:space="0" w:color="auto"/>
        <w:left w:val="none" w:sz="0" w:space="0" w:color="auto"/>
        <w:bottom w:val="none" w:sz="0" w:space="0" w:color="auto"/>
        <w:right w:val="none" w:sz="0" w:space="0" w:color="auto"/>
      </w:divBdr>
    </w:div>
    <w:div w:id="369652616">
      <w:bodyDiv w:val="1"/>
      <w:marLeft w:val="0"/>
      <w:marRight w:val="0"/>
      <w:marTop w:val="0"/>
      <w:marBottom w:val="0"/>
      <w:divBdr>
        <w:top w:val="none" w:sz="0" w:space="0" w:color="auto"/>
        <w:left w:val="none" w:sz="0" w:space="0" w:color="auto"/>
        <w:bottom w:val="none" w:sz="0" w:space="0" w:color="auto"/>
        <w:right w:val="none" w:sz="0" w:space="0" w:color="auto"/>
      </w:divBdr>
      <w:divsChild>
        <w:div w:id="2056543521">
          <w:marLeft w:val="360"/>
          <w:marRight w:val="0"/>
          <w:marTop w:val="200"/>
          <w:marBottom w:val="0"/>
          <w:divBdr>
            <w:top w:val="none" w:sz="0" w:space="0" w:color="auto"/>
            <w:left w:val="none" w:sz="0" w:space="0" w:color="auto"/>
            <w:bottom w:val="none" w:sz="0" w:space="0" w:color="auto"/>
            <w:right w:val="none" w:sz="0" w:space="0" w:color="auto"/>
          </w:divBdr>
        </w:div>
        <w:div w:id="931085459">
          <w:marLeft w:val="360"/>
          <w:marRight w:val="0"/>
          <w:marTop w:val="200"/>
          <w:marBottom w:val="0"/>
          <w:divBdr>
            <w:top w:val="none" w:sz="0" w:space="0" w:color="auto"/>
            <w:left w:val="none" w:sz="0" w:space="0" w:color="auto"/>
            <w:bottom w:val="none" w:sz="0" w:space="0" w:color="auto"/>
            <w:right w:val="none" w:sz="0" w:space="0" w:color="auto"/>
          </w:divBdr>
        </w:div>
        <w:div w:id="1452281878">
          <w:marLeft w:val="360"/>
          <w:marRight w:val="0"/>
          <w:marTop w:val="200"/>
          <w:marBottom w:val="0"/>
          <w:divBdr>
            <w:top w:val="none" w:sz="0" w:space="0" w:color="auto"/>
            <w:left w:val="none" w:sz="0" w:space="0" w:color="auto"/>
            <w:bottom w:val="none" w:sz="0" w:space="0" w:color="auto"/>
            <w:right w:val="none" w:sz="0" w:space="0" w:color="auto"/>
          </w:divBdr>
        </w:div>
        <w:div w:id="259607039">
          <w:marLeft w:val="360"/>
          <w:marRight w:val="0"/>
          <w:marTop w:val="200"/>
          <w:marBottom w:val="0"/>
          <w:divBdr>
            <w:top w:val="none" w:sz="0" w:space="0" w:color="auto"/>
            <w:left w:val="none" w:sz="0" w:space="0" w:color="auto"/>
            <w:bottom w:val="none" w:sz="0" w:space="0" w:color="auto"/>
            <w:right w:val="none" w:sz="0" w:space="0" w:color="auto"/>
          </w:divBdr>
        </w:div>
        <w:div w:id="1620574455">
          <w:marLeft w:val="360"/>
          <w:marRight w:val="0"/>
          <w:marTop w:val="200"/>
          <w:marBottom w:val="0"/>
          <w:divBdr>
            <w:top w:val="none" w:sz="0" w:space="0" w:color="auto"/>
            <w:left w:val="none" w:sz="0" w:space="0" w:color="auto"/>
            <w:bottom w:val="none" w:sz="0" w:space="0" w:color="auto"/>
            <w:right w:val="none" w:sz="0" w:space="0" w:color="auto"/>
          </w:divBdr>
        </w:div>
      </w:divsChild>
    </w:div>
    <w:div w:id="406389907">
      <w:bodyDiv w:val="1"/>
      <w:marLeft w:val="0"/>
      <w:marRight w:val="0"/>
      <w:marTop w:val="0"/>
      <w:marBottom w:val="0"/>
      <w:divBdr>
        <w:top w:val="none" w:sz="0" w:space="0" w:color="auto"/>
        <w:left w:val="none" w:sz="0" w:space="0" w:color="auto"/>
        <w:bottom w:val="none" w:sz="0" w:space="0" w:color="auto"/>
        <w:right w:val="none" w:sz="0" w:space="0" w:color="auto"/>
      </w:divBdr>
    </w:div>
    <w:div w:id="429007910">
      <w:bodyDiv w:val="1"/>
      <w:marLeft w:val="0"/>
      <w:marRight w:val="0"/>
      <w:marTop w:val="0"/>
      <w:marBottom w:val="0"/>
      <w:divBdr>
        <w:top w:val="none" w:sz="0" w:space="0" w:color="auto"/>
        <w:left w:val="none" w:sz="0" w:space="0" w:color="auto"/>
        <w:bottom w:val="none" w:sz="0" w:space="0" w:color="auto"/>
        <w:right w:val="none" w:sz="0" w:space="0" w:color="auto"/>
      </w:divBdr>
    </w:div>
    <w:div w:id="489637206">
      <w:bodyDiv w:val="1"/>
      <w:marLeft w:val="0"/>
      <w:marRight w:val="0"/>
      <w:marTop w:val="0"/>
      <w:marBottom w:val="0"/>
      <w:divBdr>
        <w:top w:val="none" w:sz="0" w:space="0" w:color="auto"/>
        <w:left w:val="none" w:sz="0" w:space="0" w:color="auto"/>
        <w:bottom w:val="none" w:sz="0" w:space="0" w:color="auto"/>
        <w:right w:val="none" w:sz="0" w:space="0" w:color="auto"/>
      </w:divBdr>
    </w:div>
    <w:div w:id="529688570">
      <w:bodyDiv w:val="1"/>
      <w:marLeft w:val="0"/>
      <w:marRight w:val="0"/>
      <w:marTop w:val="0"/>
      <w:marBottom w:val="0"/>
      <w:divBdr>
        <w:top w:val="none" w:sz="0" w:space="0" w:color="auto"/>
        <w:left w:val="none" w:sz="0" w:space="0" w:color="auto"/>
        <w:bottom w:val="none" w:sz="0" w:space="0" w:color="auto"/>
        <w:right w:val="none" w:sz="0" w:space="0" w:color="auto"/>
      </w:divBdr>
    </w:div>
    <w:div w:id="552078490">
      <w:bodyDiv w:val="1"/>
      <w:marLeft w:val="0"/>
      <w:marRight w:val="0"/>
      <w:marTop w:val="0"/>
      <w:marBottom w:val="0"/>
      <w:divBdr>
        <w:top w:val="none" w:sz="0" w:space="0" w:color="auto"/>
        <w:left w:val="none" w:sz="0" w:space="0" w:color="auto"/>
        <w:bottom w:val="none" w:sz="0" w:space="0" w:color="auto"/>
        <w:right w:val="none" w:sz="0" w:space="0" w:color="auto"/>
      </w:divBdr>
    </w:div>
    <w:div w:id="557980030">
      <w:bodyDiv w:val="1"/>
      <w:marLeft w:val="0"/>
      <w:marRight w:val="0"/>
      <w:marTop w:val="0"/>
      <w:marBottom w:val="0"/>
      <w:divBdr>
        <w:top w:val="none" w:sz="0" w:space="0" w:color="auto"/>
        <w:left w:val="none" w:sz="0" w:space="0" w:color="auto"/>
        <w:bottom w:val="none" w:sz="0" w:space="0" w:color="auto"/>
        <w:right w:val="none" w:sz="0" w:space="0" w:color="auto"/>
      </w:divBdr>
    </w:div>
    <w:div w:id="595136487">
      <w:bodyDiv w:val="1"/>
      <w:marLeft w:val="0"/>
      <w:marRight w:val="0"/>
      <w:marTop w:val="0"/>
      <w:marBottom w:val="0"/>
      <w:divBdr>
        <w:top w:val="none" w:sz="0" w:space="0" w:color="auto"/>
        <w:left w:val="none" w:sz="0" w:space="0" w:color="auto"/>
        <w:bottom w:val="none" w:sz="0" w:space="0" w:color="auto"/>
        <w:right w:val="none" w:sz="0" w:space="0" w:color="auto"/>
      </w:divBdr>
    </w:div>
    <w:div w:id="605314682">
      <w:bodyDiv w:val="1"/>
      <w:marLeft w:val="0"/>
      <w:marRight w:val="0"/>
      <w:marTop w:val="0"/>
      <w:marBottom w:val="0"/>
      <w:divBdr>
        <w:top w:val="none" w:sz="0" w:space="0" w:color="auto"/>
        <w:left w:val="none" w:sz="0" w:space="0" w:color="auto"/>
        <w:bottom w:val="none" w:sz="0" w:space="0" w:color="auto"/>
        <w:right w:val="none" w:sz="0" w:space="0" w:color="auto"/>
      </w:divBdr>
    </w:div>
    <w:div w:id="651058344">
      <w:bodyDiv w:val="1"/>
      <w:marLeft w:val="0"/>
      <w:marRight w:val="0"/>
      <w:marTop w:val="0"/>
      <w:marBottom w:val="0"/>
      <w:divBdr>
        <w:top w:val="none" w:sz="0" w:space="0" w:color="auto"/>
        <w:left w:val="none" w:sz="0" w:space="0" w:color="auto"/>
        <w:bottom w:val="none" w:sz="0" w:space="0" w:color="auto"/>
        <w:right w:val="none" w:sz="0" w:space="0" w:color="auto"/>
      </w:divBdr>
    </w:div>
    <w:div w:id="652220275">
      <w:bodyDiv w:val="1"/>
      <w:marLeft w:val="0"/>
      <w:marRight w:val="0"/>
      <w:marTop w:val="0"/>
      <w:marBottom w:val="0"/>
      <w:divBdr>
        <w:top w:val="none" w:sz="0" w:space="0" w:color="auto"/>
        <w:left w:val="none" w:sz="0" w:space="0" w:color="auto"/>
        <w:bottom w:val="none" w:sz="0" w:space="0" w:color="auto"/>
        <w:right w:val="none" w:sz="0" w:space="0" w:color="auto"/>
      </w:divBdr>
    </w:div>
    <w:div w:id="656615674">
      <w:bodyDiv w:val="1"/>
      <w:marLeft w:val="0"/>
      <w:marRight w:val="0"/>
      <w:marTop w:val="0"/>
      <w:marBottom w:val="0"/>
      <w:divBdr>
        <w:top w:val="none" w:sz="0" w:space="0" w:color="auto"/>
        <w:left w:val="none" w:sz="0" w:space="0" w:color="auto"/>
        <w:bottom w:val="none" w:sz="0" w:space="0" w:color="auto"/>
        <w:right w:val="none" w:sz="0" w:space="0" w:color="auto"/>
      </w:divBdr>
    </w:div>
    <w:div w:id="699666504">
      <w:bodyDiv w:val="1"/>
      <w:marLeft w:val="0"/>
      <w:marRight w:val="0"/>
      <w:marTop w:val="0"/>
      <w:marBottom w:val="0"/>
      <w:divBdr>
        <w:top w:val="none" w:sz="0" w:space="0" w:color="auto"/>
        <w:left w:val="none" w:sz="0" w:space="0" w:color="auto"/>
        <w:bottom w:val="none" w:sz="0" w:space="0" w:color="auto"/>
        <w:right w:val="none" w:sz="0" w:space="0" w:color="auto"/>
      </w:divBdr>
    </w:div>
    <w:div w:id="707412257">
      <w:bodyDiv w:val="1"/>
      <w:marLeft w:val="0"/>
      <w:marRight w:val="0"/>
      <w:marTop w:val="0"/>
      <w:marBottom w:val="0"/>
      <w:divBdr>
        <w:top w:val="none" w:sz="0" w:space="0" w:color="auto"/>
        <w:left w:val="none" w:sz="0" w:space="0" w:color="auto"/>
        <w:bottom w:val="none" w:sz="0" w:space="0" w:color="auto"/>
        <w:right w:val="none" w:sz="0" w:space="0" w:color="auto"/>
      </w:divBdr>
    </w:div>
    <w:div w:id="729622302">
      <w:bodyDiv w:val="1"/>
      <w:marLeft w:val="0"/>
      <w:marRight w:val="0"/>
      <w:marTop w:val="0"/>
      <w:marBottom w:val="0"/>
      <w:divBdr>
        <w:top w:val="none" w:sz="0" w:space="0" w:color="auto"/>
        <w:left w:val="none" w:sz="0" w:space="0" w:color="auto"/>
        <w:bottom w:val="none" w:sz="0" w:space="0" w:color="auto"/>
        <w:right w:val="none" w:sz="0" w:space="0" w:color="auto"/>
      </w:divBdr>
      <w:divsChild>
        <w:div w:id="2114862926">
          <w:marLeft w:val="360"/>
          <w:marRight w:val="0"/>
          <w:marTop w:val="200"/>
          <w:marBottom w:val="0"/>
          <w:divBdr>
            <w:top w:val="none" w:sz="0" w:space="0" w:color="auto"/>
            <w:left w:val="none" w:sz="0" w:space="0" w:color="auto"/>
            <w:bottom w:val="none" w:sz="0" w:space="0" w:color="auto"/>
            <w:right w:val="none" w:sz="0" w:space="0" w:color="auto"/>
          </w:divBdr>
        </w:div>
      </w:divsChild>
    </w:div>
    <w:div w:id="748501106">
      <w:bodyDiv w:val="1"/>
      <w:marLeft w:val="0"/>
      <w:marRight w:val="0"/>
      <w:marTop w:val="0"/>
      <w:marBottom w:val="0"/>
      <w:divBdr>
        <w:top w:val="none" w:sz="0" w:space="0" w:color="auto"/>
        <w:left w:val="none" w:sz="0" w:space="0" w:color="auto"/>
        <w:bottom w:val="none" w:sz="0" w:space="0" w:color="auto"/>
        <w:right w:val="none" w:sz="0" w:space="0" w:color="auto"/>
      </w:divBdr>
    </w:div>
    <w:div w:id="760611550">
      <w:bodyDiv w:val="1"/>
      <w:marLeft w:val="0"/>
      <w:marRight w:val="0"/>
      <w:marTop w:val="0"/>
      <w:marBottom w:val="0"/>
      <w:divBdr>
        <w:top w:val="none" w:sz="0" w:space="0" w:color="auto"/>
        <w:left w:val="none" w:sz="0" w:space="0" w:color="auto"/>
        <w:bottom w:val="none" w:sz="0" w:space="0" w:color="auto"/>
        <w:right w:val="none" w:sz="0" w:space="0" w:color="auto"/>
      </w:divBdr>
    </w:div>
    <w:div w:id="767386361">
      <w:bodyDiv w:val="1"/>
      <w:marLeft w:val="0"/>
      <w:marRight w:val="0"/>
      <w:marTop w:val="0"/>
      <w:marBottom w:val="0"/>
      <w:divBdr>
        <w:top w:val="none" w:sz="0" w:space="0" w:color="auto"/>
        <w:left w:val="none" w:sz="0" w:space="0" w:color="auto"/>
        <w:bottom w:val="none" w:sz="0" w:space="0" w:color="auto"/>
        <w:right w:val="none" w:sz="0" w:space="0" w:color="auto"/>
      </w:divBdr>
    </w:div>
    <w:div w:id="773944997">
      <w:bodyDiv w:val="1"/>
      <w:marLeft w:val="0"/>
      <w:marRight w:val="0"/>
      <w:marTop w:val="0"/>
      <w:marBottom w:val="0"/>
      <w:divBdr>
        <w:top w:val="none" w:sz="0" w:space="0" w:color="auto"/>
        <w:left w:val="none" w:sz="0" w:space="0" w:color="auto"/>
        <w:bottom w:val="none" w:sz="0" w:space="0" w:color="auto"/>
        <w:right w:val="none" w:sz="0" w:space="0" w:color="auto"/>
      </w:divBdr>
    </w:div>
    <w:div w:id="780877535">
      <w:bodyDiv w:val="1"/>
      <w:marLeft w:val="0"/>
      <w:marRight w:val="0"/>
      <w:marTop w:val="0"/>
      <w:marBottom w:val="0"/>
      <w:divBdr>
        <w:top w:val="none" w:sz="0" w:space="0" w:color="auto"/>
        <w:left w:val="none" w:sz="0" w:space="0" w:color="auto"/>
        <w:bottom w:val="none" w:sz="0" w:space="0" w:color="auto"/>
        <w:right w:val="none" w:sz="0" w:space="0" w:color="auto"/>
      </w:divBdr>
    </w:div>
    <w:div w:id="806899546">
      <w:bodyDiv w:val="1"/>
      <w:marLeft w:val="0"/>
      <w:marRight w:val="0"/>
      <w:marTop w:val="0"/>
      <w:marBottom w:val="0"/>
      <w:divBdr>
        <w:top w:val="none" w:sz="0" w:space="0" w:color="auto"/>
        <w:left w:val="none" w:sz="0" w:space="0" w:color="auto"/>
        <w:bottom w:val="none" w:sz="0" w:space="0" w:color="auto"/>
        <w:right w:val="none" w:sz="0" w:space="0" w:color="auto"/>
      </w:divBdr>
    </w:div>
    <w:div w:id="808938691">
      <w:bodyDiv w:val="1"/>
      <w:marLeft w:val="0"/>
      <w:marRight w:val="0"/>
      <w:marTop w:val="0"/>
      <w:marBottom w:val="0"/>
      <w:divBdr>
        <w:top w:val="none" w:sz="0" w:space="0" w:color="auto"/>
        <w:left w:val="none" w:sz="0" w:space="0" w:color="auto"/>
        <w:bottom w:val="none" w:sz="0" w:space="0" w:color="auto"/>
        <w:right w:val="none" w:sz="0" w:space="0" w:color="auto"/>
      </w:divBdr>
    </w:div>
    <w:div w:id="820541841">
      <w:bodyDiv w:val="1"/>
      <w:marLeft w:val="0"/>
      <w:marRight w:val="0"/>
      <w:marTop w:val="0"/>
      <w:marBottom w:val="0"/>
      <w:divBdr>
        <w:top w:val="none" w:sz="0" w:space="0" w:color="auto"/>
        <w:left w:val="none" w:sz="0" w:space="0" w:color="auto"/>
        <w:bottom w:val="none" w:sz="0" w:space="0" w:color="auto"/>
        <w:right w:val="none" w:sz="0" w:space="0" w:color="auto"/>
      </w:divBdr>
    </w:div>
    <w:div w:id="832838440">
      <w:bodyDiv w:val="1"/>
      <w:marLeft w:val="0"/>
      <w:marRight w:val="0"/>
      <w:marTop w:val="0"/>
      <w:marBottom w:val="0"/>
      <w:divBdr>
        <w:top w:val="none" w:sz="0" w:space="0" w:color="auto"/>
        <w:left w:val="none" w:sz="0" w:space="0" w:color="auto"/>
        <w:bottom w:val="none" w:sz="0" w:space="0" w:color="auto"/>
        <w:right w:val="none" w:sz="0" w:space="0" w:color="auto"/>
      </w:divBdr>
    </w:div>
    <w:div w:id="875585372">
      <w:bodyDiv w:val="1"/>
      <w:marLeft w:val="0"/>
      <w:marRight w:val="0"/>
      <w:marTop w:val="0"/>
      <w:marBottom w:val="0"/>
      <w:divBdr>
        <w:top w:val="none" w:sz="0" w:space="0" w:color="auto"/>
        <w:left w:val="none" w:sz="0" w:space="0" w:color="auto"/>
        <w:bottom w:val="none" w:sz="0" w:space="0" w:color="auto"/>
        <w:right w:val="none" w:sz="0" w:space="0" w:color="auto"/>
      </w:divBdr>
    </w:div>
    <w:div w:id="922026830">
      <w:bodyDiv w:val="1"/>
      <w:marLeft w:val="0"/>
      <w:marRight w:val="0"/>
      <w:marTop w:val="0"/>
      <w:marBottom w:val="0"/>
      <w:divBdr>
        <w:top w:val="none" w:sz="0" w:space="0" w:color="auto"/>
        <w:left w:val="none" w:sz="0" w:space="0" w:color="auto"/>
        <w:bottom w:val="none" w:sz="0" w:space="0" w:color="auto"/>
        <w:right w:val="none" w:sz="0" w:space="0" w:color="auto"/>
      </w:divBdr>
      <w:divsChild>
        <w:div w:id="1972243925">
          <w:marLeft w:val="259"/>
          <w:marRight w:val="0"/>
          <w:marTop w:val="200"/>
          <w:marBottom w:val="0"/>
          <w:divBdr>
            <w:top w:val="none" w:sz="0" w:space="0" w:color="auto"/>
            <w:left w:val="none" w:sz="0" w:space="0" w:color="auto"/>
            <w:bottom w:val="none" w:sz="0" w:space="0" w:color="auto"/>
            <w:right w:val="none" w:sz="0" w:space="0" w:color="auto"/>
          </w:divBdr>
        </w:div>
        <w:div w:id="1683967803">
          <w:marLeft w:val="259"/>
          <w:marRight w:val="2563"/>
          <w:marTop w:val="1"/>
          <w:marBottom w:val="0"/>
          <w:divBdr>
            <w:top w:val="none" w:sz="0" w:space="0" w:color="auto"/>
            <w:left w:val="none" w:sz="0" w:space="0" w:color="auto"/>
            <w:bottom w:val="none" w:sz="0" w:space="0" w:color="auto"/>
            <w:right w:val="none" w:sz="0" w:space="0" w:color="auto"/>
          </w:divBdr>
        </w:div>
        <w:div w:id="545796422">
          <w:marLeft w:val="259"/>
          <w:marRight w:val="2563"/>
          <w:marTop w:val="1"/>
          <w:marBottom w:val="0"/>
          <w:divBdr>
            <w:top w:val="none" w:sz="0" w:space="0" w:color="auto"/>
            <w:left w:val="none" w:sz="0" w:space="0" w:color="auto"/>
            <w:bottom w:val="none" w:sz="0" w:space="0" w:color="auto"/>
            <w:right w:val="none" w:sz="0" w:space="0" w:color="auto"/>
          </w:divBdr>
        </w:div>
        <w:div w:id="269435332">
          <w:marLeft w:val="259"/>
          <w:marRight w:val="0"/>
          <w:marTop w:val="200"/>
          <w:marBottom w:val="0"/>
          <w:divBdr>
            <w:top w:val="none" w:sz="0" w:space="0" w:color="auto"/>
            <w:left w:val="none" w:sz="0" w:space="0" w:color="auto"/>
            <w:bottom w:val="none" w:sz="0" w:space="0" w:color="auto"/>
            <w:right w:val="none" w:sz="0" w:space="0" w:color="auto"/>
          </w:divBdr>
        </w:div>
        <w:div w:id="625354590">
          <w:marLeft w:val="259"/>
          <w:marRight w:val="0"/>
          <w:marTop w:val="200"/>
          <w:marBottom w:val="0"/>
          <w:divBdr>
            <w:top w:val="none" w:sz="0" w:space="0" w:color="auto"/>
            <w:left w:val="none" w:sz="0" w:space="0" w:color="auto"/>
            <w:bottom w:val="none" w:sz="0" w:space="0" w:color="auto"/>
            <w:right w:val="none" w:sz="0" w:space="0" w:color="auto"/>
          </w:divBdr>
        </w:div>
        <w:div w:id="211624918">
          <w:marLeft w:val="259"/>
          <w:marRight w:val="0"/>
          <w:marTop w:val="200"/>
          <w:marBottom w:val="0"/>
          <w:divBdr>
            <w:top w:val="none" w:sz="0" w:space="0" w:color="auto"/>
            <w:left w:val="none" w:sz="0" w:space="0" w:color="auto"/>
            <w:bottom w:val="none" w:sz="0" w:space="0" w:color="auto"/>
            <w:right w:val="none" w:sz="0" w:space="0" w:color="auto"/>
          </w:divBdr>
        </w:div>
        <w:div w:id="2015720535">
          <w:marLeft w:val="259"/>
          <w:marRight w:val="0"/>
          <w:marTop w:val="200"/>
          <w:marBottom w:val="0"/>
          <w:divBdr>
            <w:top w:val="none" w:sz="0" w:space="0" w:color="auto"/>
            <w:left w:val="none" w:sz="0" w:space="0" w:color="auto"/>
            <w:bottom w:val="none" w:sz="0" w:space="0" w:color="auto"/>
            <w:right w:val="none" w:sz="0" w:space="0" w:color="auto"/>
          </w:divBdr>
        </w:div>
        <w:div w:id="1336150802">
          <w:marLeft w:val="259"/>
          <w:marRight w:val="0"/>
          <w:marTop w:val="200"/>
          <w:marBottom w:val="0"/>
          <w:divBdr>
            <w:top w:val="none" w:sz="0" w:space="0" w:color="auto"/>
            <w:left w:val="none" w:sz="0" w:space="0" w:color="auto"/>
            <w:bottom w:val="none" w:sz="0" w:space="0" w:color="auto"/>
            <w:right w:val="none" w:sz="0" w:space="0" w:color="auto"/>
          </w:divBdr>
        </w:div>
      </w:divsChild>
    </w:div>
    <w:div w:id="926308014">
      <w:bodyDiv w:val="1"/>
      <w:marLeft w:val="0"/>
      <w:marRight w:val="0"/>
      <w:marTop w:val="0"/>
      <w:marBottom w:val="0"/>
      <w:divBdr>
        <w:top w:val="none" w:sz="0" w:space="0" w:color="auto"/>
        <w:left w:val="none" w:sz="0" w:space="0" w:color="auto"/>
        <w:bottom w:val="none" w:sz="0" w:space="0" w:color="auto"/>
        <w:right w:val="none" w:sz="0" w:space="0" w:color="auto"/>
      </w:divBdr>
    </w:div>
    <w:div w:id="970406610">
      <w:bodyDiv w:val="1"/>
      <w:marLeft w:val="0"/>
      <w:marRight w:val="0"/>
      <w:marTop w:val="0"/>
      <w:marBottom w:val="0"/>
      <w:divBdr>
        <w:top w:val="none" w:sz="0" w:space="0" w:color="auto"/>
        <w:left w:val="none" w:sz="0" w:space="0" w:color="auto"/>
        <w:bottom w:val="none" w:sz="0" w:space="0" w:color="auto"/>
        <w:right w:val="none" w:sz="0" w:space="0" w:color="auto"/>
      </w:divBdr>
    </w:div>
    <w:div w:id="1007437212">
      <w:bodyDiv w:val="1"/>
      <w:marLeft w:val="0"/>
      <w:marRight w:val="0"/>
      <w:marTop w:val="0"/>
      <w:marBottom w:val="0"/>
      <w:divBdr>
        <w:top w:val="none" w:sz="0" w:space="0" w:color="auto"/>
        <w:left w:val="none" w:sz="0" w:space="0" w:color="auto"/>
        <w:bottom w:val="none" w:sz="0" w:space="0" w:color="auto"/>
        <w:right w:val="none" w:sz="0" w:space="0" w:color="auto"/>
      </w:divBdr>
    </w:div>
    <w:div w:id="1060129451">
      <w:bodyDiv w:val="1"/>
      <w:marLeft w:val="0"/>
      <w:marRight w:val="0"/>
      <w:marTop w:val="0"/>
      <w:marBottom w:val="0"/>
      <w:divBdr>
        <w:top w:val="none" w:sz="0" w:space="0" w:color="auto"/>
        <w:left w:val="none" w:sz="0" w:space="0" w:color="auto"/>
        <w:bottom w:val="none" w:sz="0" w:space="0" w:color="auto"/>
        <w:right w:val="none" w:sz="0" w:space="0" w:color="auto"/>
      </w:divBdr>
    </w:div>
    <w:div w:id="1135759452">
      <w:bodyDiv w:val="1"/>
      <w:marLeft w:val="0"/>
      <w:marRight w:val="0"/>
      <w:marTop w:val="0"/>
      <w:marBottom w:val="0"/>
      <w:divBdr>
        <w:top w:val="none" w:sz="0" w:space="0" w:color="auto"/>
        <w:left w:val="none" w:sz="0" w:space="0" w:color="auto"/>
        <w:bottom w:val="none" w:sz="0" w:space="0" w:color="auto"/>
        <w:right w:val="none" w:sz="0" w:space="0" w:color="auto"/>
      </w:divBdr>
    </w:div>
    <w:div w:id="1261257527">
      <w:bodyDiv w:val="1"/>
      <w:marLeft w:val="0"/>
      <w:marRight w:val="0"/>
      <w:marTop w:val="0"/>
      <w:marBottom w:val="0"/>
      <w:divBdr>
        <w:top w:val="none" w:sz="0" w:space="0" w:color="auto"/>
        <w:left w:val="none" w:sz="0" w:space="0" w:color="auto"/>
        <w:bottom w:val="none" w:sz="0" w:space="0" w:color="auto"/>
        <w:right w:val="none" w:sz="0" w:space="0" w:color="auto"/>
      </w:divBdr>
    </w:div>
    <w:div w:id="1273780487">
      <w:bodyDiv w:val="1"/>
      <w:marLeft w:val="0"/>
      <w:marRight w:val="0"/>
      <w:marTop w:val="0"/>
      <w:marBottom w:val="0"/>
      <w:divBdr>
        <w:top w:val="none" w:sz="0" w:space="0" w:color="auto"/>
        <w:left w:val="none" w:sz="0" w:space="0" w:color="auto"/>
        <w:bottom w:val="none" w:sz="0" w:space="0" w:color="auto"/>
        <w:right w:val="none" w:sz="0" w:space="0" w:color="auto"/>
      </w:divBdr>
    </w:div>
    <w:div w:id="1292442042">
      <w:bodyDiv w:val="1"/>
      <w:marLeft w:val="0"/>
      <w:marRight w:val="0"/>
      <w:marTop w:val="0"/>
      <w:marBottom w:val="0"/>
      <w:divBdr>
        <w:top w:val="none" w:sz="0" w:space="0" w:color="auto"/>
        <w:left w:val="none" w:sz="0" w:space="0" w:color="auto"/>
        <w:bottom w:val="none" w:sz="0" w:space="0" w:color="auto"/>
        <w:right w:val="none" w:sz="0" w:space="0" w:color="auto"/>
      </w:divBdr>
    </w:div>
    <w:div w:id="1324578829">
      <w:bodyDiv w:val="1"/>
      <w:marLeft w:val="0"/>
      <w:marRight w:val="0"/>
      <w:marTop w:val="0"/>
      <w:marBottom w:val="0"/>
      <w:divBdr>
        <w:top w:val="none" w:sz="0" w:space="0" w:color="auto"/>
        <w:left w:val="none" w:sz="0" w:space="0" w:color="auto"/>
        <w:bottom w:val="none" w:sz="0" w:space="0" w:color="auto"/>
        <w:right w:val="none" w:sz="0" w:space="0" w:color="auto"/>
      </w:divBdr>
    </w:div>
    <w:div w:id="1371880312">
      <w:bodyDiv w:val="1"/>
      <w:marLeft w:val="0"/>
      <w:marRight w:val="0"/>
      <w:marTop w:val="0"/>
      <w:marBottom w:val="0"/>
      <w:divBdr>
        <w:top w:val="none" w:sz="0" w:space="0" w:color="auto"/>
        <w:left w:val="none" w:sz="0" w:space="0" w:color="auto"/>
        <w:bottom w:val="none" w:sz="0" w:space="0" w:color="auto"/>
        <w:right w:val="none" w:sz="0" w:space="0" w:color="auto"/>
      </w:divBdr>
    </w:div>
    <w:div w:id="1391617171">
      <w:bodyDiv w:val="1"/>
      <w:marLeft w:val="0"/>
      <w:marRight w:val="0"/>
      <w:marTop w:val="0"/>
      <w:marBottom w:val="0"/>
      <w:divBdr>
        <w:top w:val="none" w:sz="0" w:space="0" w:color="auto"/>
        <w:left w:val="none" w:sz="0" w:space="0" w:color="auto"/>
        <w:bottom w:val="none" w:sz="0" w:space="0" w:color="auto"/>
        <w:right w:val="none" w:sz="0" w:space="0" w:color="auto"/>
      </w:divBdr>
    </w:div>
    <w:div w:id="1590235780">
      <w:bodyDiv w:val="1"/>
      <w:marLeft w:val="0"/>
      <w:marRight w:val="0"/>
      <w:marTop w:val="0"/>
      <w:marBottom w:val="0"/>
      <w:divBdr>
        <w:top w:val="none" w:sz="0" w:space="0" w:color="auto"/>
        <w:left w:val="none" w:sz="0" w:space="0" w:color="auto"/>
        <w:bottom w:val="none" w:sz="0" w:space="0" w:color="auto"/>
        <w:right w:val="none" w:sz="0" w:space="0" w:color="auto"/>
      </w:divBdr>
    </w:div>
    <w:div w:id="1595359510">
      <w:bodyDiv w:val="1"/>
      <w:marLeft w:val="0"/>
      <w:marRight w:val="0"/>
      <w:marTop w:val="0"/>
      <w:marBottom w:val="0"/>
      <w:divBdr>
        <w:top w:val="none" w:sz="0" w:space="0" w:color="auto"/>
        <w:left w:val="none" w:sz="0" w:space="0" w:color="auto"/>
        <w:bottom w:val="none" w:sz="0" w:space="0" w:color="auto"/>
        <w:right w:val="none" w:sz="0" w:space="0" w:color="auto"/>
      </w:divBdr>
    </w:div>
    <w:div w:id="1597057660">
      <w:bodyDiv w:val="1"/>
      <w:marLeft w:val="0"/>
      <w:marRight w:val="0"/>
      <w:marTop w:val="0"/>
      <w:marBottom w:val="0"/>
      <w:divBdr>
        <w:top w:val="none" w:sz="0" w:space="0" w:color="auto"/>
        <w:left w:val="none" w:sz="0" w:space="0" w:color="auto"/>
        <w:bottom w:val="none" w:sz="0" w:space="0" w:color="auto"/>
        <w:right w:val="none" w:sz="0" w:space="0" w:color="auto"/>
      </w:divBdr>
    </w:div>
    <w:div w:id="1607931823">
      <w:bodyDiv w:val="1"/>
      <w:marLeft w:val="0"/>
      <w:marRight w:val="0"/>
      <w:marTop w:val="0"/>
      <w:marBottom w:val="0"/>
      <w:divBdr>
        <w:top w:val="none" w:sz="0" w:space="0" w:color="auto"/>
        <w:left w:val="none" w:sz="0" w:space="0" w:color="auto"/>
        <w:bottom w:val="none" w:sz="0" w:space="0" w:color="auto"/>
        <w:right w:val="none" w:sz="0" w:space="0" w:color="auto"/>
      </w:divBdr>
      <w:divsChild>
        <w:div w:id="1895197257">
          <w:marLeft w:val="360"/>
          <w:marRight w:val="0"/>
          <w:marTop w:val="200"/>
          <w:marBottom w:val="160"/>
          <w:divBdr>
            <w:top w:val="none" w:sz="0" w:space="0" w:color="auto"/>
            <w:left w:val="none" w:sz="0" w:space="0" w:color="auto"/>
            <w:bottom w:val="none" w:sz="0" w:space="0" w:color="auto"/>
            <w:right w:val="none" w:sz="0" w:space="0" w:color="auto"/>
          </w:divBdr>
        </w:div>
        <w:div w:id="53506839">
          <w:marLeft w:val="360"/>
          <w:marRight w:val="0"/>
          <w:marTop w:val="200"/>
          <w:marBottom w:val="160"/>
          <w:divBdr>
            <w:top w:val="none" w:sz="0" w:space="0" w:color="auto"/>
            <w:left w:val="none" w:sz="0" w:space="0" w:color="auto"/>
            <w:bottom w:val="none" w:sz="0" w:space="0" w:color="auto"/>
            <w:right w:val="none" w:sz="0" w:space="0" w:color="auto"/>
          </w:divBdr>
        </w:div>
        <w:div w:id="2080057126">
          <w:marLeft w:val="360"/>
          <w:marRight w:val="0"/>
          <w:marTop w:val="200"/>
          <w:marBottom w:val="160"/>
          <w:divBdr>
            <w:top w:val="none" w:sz="0" w:space="0" w:color="auto"/>
            <w:left w:val="none" w:sz="0" w:space="0" w:color="auto"/>
            <w:bottom w:val="none" w:sz="0" w:space="0" w:color="auto"/>
            <w:right w:val="none" w:sz="0" w:space="0" w:color="auto"/>
          </w:divBdr>
        </w:div>
      </w:divsChild>
    </w:div>
    <w:div w:id="1662344904">
      <w:bodyDiv w:val="1"/>
      <w:marLeft w:val="0"/>
      <w:marRight w:val="0"/>
      <w:marTop w:val="0"/>
      <w:marBottom w:val="0"/>
      <w:divBdr>
        <w:top w:val="none" w:sz="0" w:space="0" w:color="auto"/>
        <w:left w:val="none" w:sz="0" w:space="0" w:color="auto"/>
        <w:bottom w:val="none" w:sz="0" w:space="0" w:color="auto"/>
        <w:right w:val="none" w:sz="0" w:space="0" w:color="auto"/>
      </w:divBdr>
    </w:div>
    <w:div w:id="1686663097">
      <w:bodyDiv w:val="1"/>
      <w:marLeft w:val="0"/>
      <w:marRight w:val="0"/>
      <w:marTop w:val="0"/>
      <w:marBottom w:val="0"/>
      <w:divBdr>
        <w:top w:val="none" w:sz="0" w:space="0" w:color="auto"/>
        <w:left w:val="none" w:sz="0" w:space="0" w:color="auto"/>
        <w:bottom w:val="none" w:sz="0" w:space="0" w:color="auto"/>
        <w:right w:val="none" w:sz="0" w:space="0" w:color="auto"/>
      </w:divBdr>
    </w:div>
    <w:div w:id="1695886519">
      <w:bodyDiv w:val="1"/>
      <w:marLeft w:val="0"/>
      <w:marRight w:val="0"/>
      <w:marTop w:val="0"/>
      <w:marBottom w:val="0"/>
      <w:divBdr>
        <w:top w:val="none" w:sz="0" w:space="0" w:color="auto"/>
        <w:left w:val="none" w:sz="0" w:space="0" w:color="auto"/>
        <w:bottom w:val="none" w:sz="0" w:space="0" w:color="auto"/>
        <w:right w:val="none" w:sz="0" w:space="0" w:color="auto"/>
      </w:divBdr>
    </w:div>
    <w:div w:id="1721518236">
      <w:bodyDiv w:val="1"/>
      <w:marLeft w:val="0"/>
      <w:marRight w:val="0"/>
      <w:marTop w:val="0"/>
      <w:marBottom w:val="0"/>
      <w:divBdr>
        <w:top w:val="none" w:sz="0" w:space="0" w:color="auto"/>
        <w:left w:val="none" w:sz="0" w:space="0" w:color="auto"/>
        <w:bottom w:val="none" w:sz="0" w:space="0" w:color="auto"/>
        <w:right w:val="none" w:sz="0" w:space="0" w:color="auto"/>
      </w:divBdr>
    </w:div>
    <w:div w:id="1765612289">
      <w:bodyDiv w:val="1"/>
      <w:marLeft w:val="0"/>
      <w:marRight w:val="0"/>
      <w:marTop w:val="0"/>
      <w:marBottom w:val="0"/>
      <w:divBdr>
        <w:top w:val="none" w:sz="0" w:space="0" w:color="auto"/>
        <w:left w:val="none" w:sz="0" w:space="0" w:color="auto"/>
        <w:bottom w:val="none" w:sz="0" w:space="0" w:color="auto"/>
        <w:right w:val="none" w:sz="0" w:space="0" w:color="auto"/>
      </w:divBdr>
    </w:div>
    <w:div w:id="1768034678">
      <w:bodyDiv w:val="1"/>
      <w:marLeft w:val="0"/>
      <w:marRight w:val="0"/>
      <w:marTop w:val="0"/>
      <w:marBottom w:val="0"/>
      <w:divBdr>
        <w:top w:val="none" w:sz="0" w:space="0" w:color="auto"/>
        <w:left w:val="none" w:sz="0" w:space="0" w:color="auto"/>
        <w:bottom w:val="none" w:sz="0" w:space="0" w:color="auto"/>
        <w:right w:val="none" w:sz="0" w:space="0" w:color="auto"/>
      </w:divBdr>
    </w:div>
    <w:div w:id="1856380732">
      <w:bodyDiv w:val="1"/>
      <w:marLeft w:val="0"/>
      <w:marRight w:val="0"/>
      <w:marTop w:val="0"/>
      <w:marBottom w:val="0"/>
      <w:divBdr>
        <w:top w:val="none" w:sz="0" w:space="0" w:color="auto"/>
        <w:left w:val="none" w:sz="0" w:space="0" w:color="auto"/>
        <w:bottom w:val="none" w:sz="0" w:space="0" w:color="auto"/>
        <w:right w:val="none" w:sz="0" w:space="0" w:color="auto"/>
      </w:divBdr>
    </w:div>
    <w:div w:id="1863005532">
      <w:bodyDiv w:val="1"/>
      <w:marLeft w:val="0"/>
      <w:marRight w:val="0"/>
      <w:marTop w:val="0"/>
      <w:marBottom w:val="0"/>
      <w:divBdr>
        <w:top w:val="none" w:sz="0" w:space="0" w:color="auto"/>
        <w:left w:val="none" w:sz="0" w:space="0" w:color="auto"/>
        <w:bottom w:val="none" w:sz="0" w:space="0" w:color="auto"/>
        <w:right w:val="none" w:sz="0" w:space="0" w:color="auto"/>
      </w:divBdr>
    </w:div>
    <w:div w:id="1877502276">
      <w:bodyDiv w:val="1"/>
      <w:marLeft w:val="0"/>
      <w:marRight w:val="0"/>
      <w:marTop w:val="0"/>
      <w:marBottom w:val="0"/>
      <w:divBdr>
        <w:top w:val="none" w:sz="0" w:space="0" w:color="auto"/>
        <w:left w:val="none" w:sz="0" w:space="0" w:color="auto"/>
        <w:bottom w:val="none" w:sz="0" w:space="0" w:color="auto"/>
        <w:right w:val="none" w:sz="0" w:space="0" w:color="auto"/>
      </w:divBdr>
    </w:div>
    <w:div w:id="193000225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19">
          <w:marLeft w:val="360"/>
          <w:marRight w:val="0"/>
          <w:marTop w:val="200"/>
          <w:marBottom w:val="0"/>
          <w:divBdr>
            <w:top w:val="none" w:sz="0" w:space="0" w:color="auto"/>
            <w:left w:val="none" w:sz="0" w:space="0" w:color="auto"/>
            <w:bottom w:val="none" w:sz="0" w:space="0" w:color="auto"/>
            <w:right w:val="none" w:sz="0" w:space="0" w:color="auto"/>
          </w:divBdr>
        </w:div>
      </w:divsChild>
    </w:div>
    <w:div w:id="1931814968">
      <w:bodyDiv w:val="1"/>
      <w:marLeft w:val="0"/>
      <w:marRight w:val="0"/>
      <w:marTop w:val="0"/>
      <w:marBottom w:val="0"/>
      <w:divBdr>
        <w:top w:val="none" w:sz="0" w:space="0" w:color="auto"/>
        <w:left w:val="none" w:sz="0" w:space="0" w:color="auto"/>
        <w:bottom w:val="none" w:sz="0" w:space="0" w:color="auto"/>
        <w:right w:val="none" w:sz="0" w:space="0" w:color="auto"/>
      </w:divBdr>
    </w:div>
    <w:div w:id="1938515260">
      <w:bodyDiv w:val="1"/>
      <w:marLeft w:val="0"/>
      <w:marRight w:val="0"/>
      <w:marTop w:val="0"/>
      <w:marBottom w:val="0"/>
      <w:divBdr>
        <w:top w:val="none" w:sz="0" w:space="0" w:color="auto"/>
        <w:left w:val="none" w:sz="0" w:space="0" w:color="auto"/>
        <w:bottom w:val="none" w:sz="0" w:space="0" w:color="auto"/>
        <w:right w:val="none" w:sz="0" w:space="0" w:color="auto"/>
      </w:divBdr>
    </w:div>
    <w:div w:id="1939633688">
      <w:bodyDiv w:val="1"/>
      <w:marLeft w:val="0"/>
      <w:marRight w:val="0"/>
      <w:marTop w:val="0"/>
      <w:marBottom w:val="0"/>
      <w:divBdr>
        <w:top w:val="none" w:sz="0" w:space="0" w:color="auto"/>
        <w:left w:val="none" w:sz="0" w:space="0" w:color="auto"/>
        <w:bottom w:val="none" w:sz="0" w:space="0" w:color="auto"/>
        <w:right w:val="none" w:sz="0" w:space="0" w:color="auto"/>
      </w:divBdr>
    </w:div>
    <w:div w:id="1948846015">
      <w:bodyDiv w:val="1"/>
      <w:marLeft w:val="0"/>
      <w:marRight w:val="0"/>
      <w:marTop w:val="0"/>
      <w:marBottom w:val="0"/>
      <w:divBdr>
        <w:top w:val="none" w:sz="0" w:space="0" w:color="auto"/>
        <w:left w:val="none" w:sz="0" w:space="0" w:color="auto"/>
        <w:bottom w:val="none" w:sz="0" w:space="0" w:color="auto"/>
        <w:right w:val="none" w:sz="0" w:space="0" w:color="auto"/>
      </w:divBdr>
    </w:div>
    <w:div w:id="1958097918">
      <w:bodyDiv w:val="1"/>
      <w:marLeft w:val="0"/>
      <w:marRight w:val="0"/>
      <w:marTop w:val="0"/>
      <w:marBottom w:val="0"/>
      <w:divBdr>
        <w:top w:val="none" w:sz="0" w:space="0" w:color="auto"/>
        <w:left w:val="none" w:sz="0" w:space="0" w:color="auto"/>
        <w:bottom w:val="none" w:sz="0" w:space="0" w:color="auto"/>
        <w:right w:val="none" w:sz="0" w:space="0" w:color="auto"/>
      </w:divBdr>
    </w:div>
    <w:div w:id="2009480583">
      <w:bodyDiv w:val="1"/>
      <w:marLeft w:val="0"/>
      <w:marRight w:val="0"/>
      <w:marTop w:val="0"/>
      <w:marBottom w:val="0"/>
      <w:divBdr>
        <w:top w:val="none" w:sz="0" w:space="0" w:color="auto"/>
        <w:left w:val="none" w:sz="0" w:space="0" w:color="auto"/>
        <w:bottom w:val="none" w:sz="0" w:space="0" w:color="auto"/>
        <w:right w:val="none" w:sz="0" w:space="0" w:color="auto"/>
      </w:divBdr>
    </w:div>
    <w:div w:id="2037273766">
      <w:bodyDiv w:val="1"/>
      <w:marLeft w:val="0"/>
      <w:marRight w:val="0"/>
      <w:marTop w:val="0"/>
      <w:marBottom w:val="0"/>
      <w:divBdr>
        <w:top w:val="none" w:sz="0" w:space="0" w:color="auto"/>
        <w:left w:val="none" w:sz="0" w:space="0" w:color="auto"/>
        <w:bottom w:val="none" w:sz="0" w:space="0" w:color="auto"/>
        <w:right w:val="none" w:sz="0" w:space="0" w:color="auto"/>
      </w:divBdr>
    </w:div>
    <w:div w:id="2043163246">
      <w:bodyDiv w:val="1"/>
      <w:marLeft w:val="0"/>
      <w:marRight w:val="0"/>
      <w:marTop w:val="0"/>
      <w:marBottom w:val="0"/>
      <w:divBdr>
        <w:top w:val="none" w:sz="0" w:space="0" w:color="auto"/>
        <w:left w:val="none" w:sz="0" w:space="0" w:color="auto"/>
        <w:bottom w:val="none" w:sz="0" w:space="0" w:color="auto"/>
        <w:right w:val="none" w:sz="0" w:space="0" w:color="auto"/>
      </w:divBdr>
    </w:div>
    <w:div w:id="2054230149">
      <w:bodyDiv w:val="1"/>
      <w:marLeft w:val="0"/>
      <w:marRight w:val="0"/>
      <w:marTop w:val="0"/>
      <w:marBottom w:val="0"/>
      <w:divBdr>
        <w:top w:val="none" w:sz="0" w:space="0" w:color="auto"/>
        <w:left w:val="none" w:sz="0" w:space="0" w:color="auto"/>
        <w:bottom w:val="none" w:sz="0" w:space="0" w:color="auto"/>
        <w:right w:val="none" w:sz="0" w:space="0" w:color="auto"/>
      </w:divBdr>
    </w:div>
    <w:div w:id="2062483765">
      <w:bodyDiv w:val="1"/>
      <w:marLeft w:val="0"/>
      <w:marRight w:val="0"/>
      <w:marTop w:val="0"/>
      <w:marBottom w:val="0"/>
      <w:divBdr>
        <w:top w:val="none" w:sz="0" w:space="0" w:color="auto"/>
        <w:left w:val="none" w:sz="0" w:space="0" w:color="auto"/>
        <w:bottom w:val="none" w:sz="0" w:space="0" w:color="auto"/>
        <w:right w:val="none" w:sz="0" w:space="0" w:color="auto"/>
      </w:divBdr>
    </w:div>
    <w:div w:id="2072533306">
      <w:bodyDiv w:val="1"/>
      <w:marLeft w:val="0"/>
      <w:marRight w:val="0"/>
      <w:marTop w:val="0"/>
      <w:marBottom w:val="0"/>
      <w:divBdr>
        <w:top w:val="none" w:sz="0" w:space="0" w:color="auto"/>
        <w:left w:val="none" w:sz="0" w:space="0" w:color="auto"/>
        <w:bottom w:val="none" w:sz="0" w:space="0" w:color="auto"/>
        <w:right w:val="none" w:sz="0" w:space="0" w:color="auto"/>
      </w:divBdr>
    </w:div>
    <w:div w:id="2078429361">
      <w:bodyDiv w:val="1"/>
      <w:marLeft w:val="0"/>
      <w:marRight w:val="0"/>
      <w:marTop w:val="0"/>
      <w:marBottom w:val="0"/>
      <w:divBdr>
        <w:top w:val="none" w:sz="0" w:space="0" w:color="auto"/>
        <w:left w:val="none" w:sz="0" w:space="0" w:color="auto"/>
        <w:bottom w:val="none" w:sz="0" w:space="0" w:color="auto"/>
        <w:right w:val="none" w:sz="0" w:space="0" w:color="auto"/>
      </w:divBdr>
    </w:div>
    <w:div w:id="2095200651">
      <w:bodyDiv w:val="1"/>
      <w:marLeft w:val="0"/>
      <w:marRight w:val="0"/>
      <w:marTop w:val="0"/>
      <w:marBottom w:val="0"/>
      <w:divBdr>
        <w:top w:val="none" w:sz="0" w:space="0" w:color="auto"/>
        <w:left w:val="none" w:sz="0" w:space="0" w:color="auto"/>
        <w:bottom w:val="none" w:sz="0" w:space="0" w:color="auto"/>
        <w:right w:val="none" w:sz="0" w:space="0" w:color="auto"/>
      </w:divBdr>
    </w:div>
    <w:div w:id="20980954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ole.24\VLBIL15\DOCS\BE\BeMacr00.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95762-D61F-4379-9B2E-AC189924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BeMacr00.dot</Template>
  <TotalTime>1</TotalTime>
  <Pages>9</Pages>
  <Words>2383</Words>
  <Characters>13587</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Relazione sulla gestione del bilancio</vt:lpstr>
    </vt:vector>
  </TitlesOfParts>
  <Company>Hewlett-Packard Company</Company>
  <LinksUpToDate>false</LinksUpToDate>
  <CharactersWithSpaces>15939</CharactersWithSpaces>
  <SharedDoc>false</SharedDoc>
  <HLinks>
    <vt:vector size="168" baseType="variant">
      <vt:variant>
        <vt:i4>2752512</vt:i4>
      </vt:variant>
      <vt:variant>
        <vt:i4>164</vt:i4>
      </vt:variant>
      <vt:variant>
        <vt:i4>0</vt:i4>
      </vt:variant>
      <vt:variant>
        <vt:i4>5</vt:i4>
      </vt:variant>
      <vt:variant>
        <vt:lpwstr/>
      </vt:variant>
      <vt:variant>
        <vt:lpwstr>_Toc2609222</vt:lpwstr>
      </vt:variant>
      <vt:variant>
        <vt:i4>2752512</vt:i4>
      </vt:variant>
      <vt:variant>
        <vt:i4>158</vt:i4>
      </vt:variant>
      <vt:variant>
        <vt:i4>0</vt:i4>
      </vt:variant>
      <vt:variant>
        <vt:i4>5</vt:i4>
      </vt:variant>
      <vt:variant>
        <vt:lpwstr/>
      </vt:variant>
      <vt:variant>
        <vt:lpwstr>_Toc2609221</vt:lpwstr>
      </vt:variant>
      <vt:variant>
        <vt:i4>2752512</vt:i4>
      </vt:variant>
      <vt:variant>
        <vt:i4>152</vt:i4>
      </vt:variant>
      <vt:variant>
        <vt:i4>0</vt:i4>
      </vt:variant>
      <vt:variant>
        <vt:i4>5</vt:i4>
      </vt:variant>
      <vt:variant>
        <vt:lpwstr/>
      </vt:variant>
      <vt:variant>
        <vt:lpwstr>_Toc2609220</vt:lpwstr>
      </vt:variant>
      <vt:variant>
        <vt:i4>2686976</vt:i4>
      </vt:variant>
      <vt:variant>
        <vt:i4>146</vt:i4>
      </vt:variant>
      <vt:variant>
        <vt:i4>0</vt:i4>
      </vt:variant>
      <vt:variant>
        <vt:i4>5</vt:i4>
      </vt:variant>
      <vt:variant>
        <vt:lpwstr/>
      </vt:variant>
      <vt:variant>
        <vt:lpwstr>_Toc2609219</vt:lpwstr>
      </vt:variant>
      <vt:variant>
        <vt:i4>2686976</vt:i4>
      </vt:variant>
      <vt:variant>
        <vt:i4>140</vt:i4>
      </vt:variant>
      <vt:variant>
        <vt:i4>0</vt:i4>
      </vt:variant>
      <vt:variant>
        <vt:i4>5</vt:i4>
      </vt:variant>
      <vt:variant>
        <vt:lpwstr/>
      </vt:variant>
      <vt:variant>
        <vt:lpwstr>_Toc2609218</vt:lpwstr>
      </vt:variant>
      <vt:variant>
        <vt:i4>2686976</vt:i4>
      </vt:variant>
      <vt:variant>
        <vt:i4>134</vt:i4>
      </vt:variant>
      <vt:variant>
        <vt:i4>0</vt:i4>
      </vt:variant>
      <vt:variant>
        <vt:i4>5</vt:i4>
      </vt:variant>
      <vt:variant>
        <vt:lpwstr/>
      </vt:variant>
      <vt:variant>
        <vt:lpwstr>_Toc2609217</vt:lpwstr>
      </vt:variant>
      <vt:variant>
        <vt:i4>2686976</vt:i4>
      </vt:variant>
      <vt:variant>
        <vt:i4>128</vt:i4>
      </vt:variant>
      <vt:variant>
        <vt:i4>0</vt:i4>
      </vt:variant>
      <vt:variant>
        <vt:i4>5</vt:i4>
      </vt:variant>
      <vt:variant>
        <vt:lpwstr/>
      </vt:variant>
      <vt:variant>
        <vt:lpwstr>_Toc2609216</vt:lpwstr>
      </vt:variant>
      <vt:variant>
        <vt:i4>2686976</vt:i4>
      </vt:variant>
      <vt:variant>
        <vt:i4>122</vt:i4>
      </vt:variant>
      <vt:variant>
        <vt:i4>0</vt:i4>
      </vt:variant>
      <vt:variant>
        <vt:i4>5</vt:i4>
      </vt:variant>
      <vt:variant>
        <vt:lpwstr/>
      </vt:variant>
      <vt:variant>
        <vt:lpwstr>_Toc2609215</vt:lpwstr>
      </vt:variant>
      <vt:variant>
        <vt:i4>2686976</vt:i4>
      </vt:variant>
      <vt:variant>
        <vt:i4>116</vt:i4>
      </vt:variant>
      <vt:variant>
        <vt:i4>0</vt:i4>
      </vt:variant>
      <vt:variant>
        <vt:i4>5</vt:i4>
      </vt:variant>
      <vt:variant>
        <vt:lpwstr/>
      </vt:variant>
      <vt:variant>
        <vt:lpwstr>_Toc2609214</vt:lpwstr>
      </vt:variant>
      <vt:variant>
        <vt:i4>2686976</vt:i4>
      </vt:variant>
      <vt:variant>
        <vt:i4>110</vt:i4>
      </vt:variant>
      <vt:variant>
        <vt:i4>0</vt:i4>
      </vt:variant>
      <vt:variant>
        <vt:i4>5</vt:i4>
      </vt:variant>
      <vt:variant>
        <vt:lpwstr/>
      </vt:variant>
      <vt:variant>
        <vt:lpwstr>_Toc2609213</vt:lpwstr>
      </vt:variant>
      <vt:variant>
        <vt:i4>2686976</vt:i4>
      </vt:variant>
      <vt:variant>
        <vt:i4>104</vt:i4>
      </vt:variant>
      <vt:variant>
        <vt:i4>0</vt:i4>
      </vt:variant>
      <vt:variant>
        <vt:i4>5</vt:i4>
      </vt:variant>
      <vt:variant>
        <vt:lpwstr/>
      </vt:variant>
      <vt:variant>
        <vt:lpwstr>_Toc2609212</vt:lpwstr>
      </vt:variant>
      <vt:variant>
        <vt:i4>2686976</vt:i4>
      </vt:variant>
      <vt:variant>
        <vt:i4>98</vt:i4>
      </vt:variant>
      <vt:variant>
        <vt:i4>0</vt:i4>
      </vt:variant>
      <vt:variant>
        <vt:i4>5</vt:i4>
      </vt:variant>
      <vt:variant>
        <vt:lpwstr/>
      </vt:variant>
      <vt:variant>
        <vt:lpwstr>_Toc2609211</vt:lpwstr>
      </vt:variant>
      <vt:variant>
        <vt:i4>2686976</vt:i4>
      </vt:variant>
      <vt:variant>
        <vt:i4>92</vt:i4>
      </vt:variant>
      <vt:variant>
        <vt:i4>0</vt:i4>
      </vt:variant>
      <vt:variant>
        <vt:i4>5</vt:i4>
      </vt:variant>
      <vt:variant>
        <vt:lpwstr/>
      </vt:variant>
      <vt:variant>
        <vt:lpwstr>_Toc2609210</vt:lpwstr>
      </vt:variant>
      <vt:variant>
        <vt:i4>2621440</vt:i4>
      </vt:variant>
      <vt:variant>
        <vt:i4>86</vt:i4>
      </vt:variant>
      <vt:variant>
        <vt:i4>0</vt:i4>
      </vt:variant>
      <vt:variant>
        <vt:i4>5</vt:i4>
      </vt:variant>
      <vt:variant>
        <vt:lpwstr/>
      </vt:variant>
      <vt:variant>
        <vt:lpwstr>_Toc2609209</vt:lpwstr>
      </vt:variant>
      <vt:variant>
        <vt:i4>2621440</vt:i4>
      </vt:variant>
      <vt:variant>
        <vt:i4>80</vt:i4>
      </vt:variant>
      <vt:variant>
        <vt:i4>0</vt:i4>
      </vt:variant>
      <vt:variant>
        <vt:i4>5</vt:i4>
      </vt:variant>
      <vt:variant>
        <vt:lpwstr/>
      </vt:variant>
      <vt:variant>
        <vt:lpwstr>_Toc2609208</vt:lpwstr>
      </vt:variant>
      <vt:variant>
        <vt:i4>2621440</vt:i4>
      </vt:variant>
      <vt:variant>
        <vt:i4>74</vt:i4>
      </vt:variant>
      <vt:variant>
        <vt:i4>0</vt:i4>
      </vt:variant>
      <vt:variant>
        <vt:i4>5</vt:i4>
      </vt:variant>
      <vt:variant>
        <vt:lpwstr/>
      </vt:variant>
      <vt:variant>
        <vt:lpwstr>_Toc2609207</vt:lpwstr>
      </vt:variant>
      <vt:variant>
        <vt:i4>2621440</vt:i4>
      </vt:variant>
      <vt:variant>
        <vt:i4>68</vt:i4>
      </vt:variant>
      <vt:variant>
        <vt:i4>0</vt:i4>
      </vt:variant>
      <vt:variant>
        <vt:i4>5</vt:i4>
      </vt:variant>
      <vt:variant>
        <vt:lpwstr/>
      </vt:variant>
      <vt:variant>
        <vt:lpwstr>_Toc2609206</vt:lpwstr>
      </vt:variant>
      <vt:variant>
        <vt:i4>2621440</vt:i4>
      </vt:variant>
      <vt:variant>
        <vt:i4>62</vt:i4>
      </vt:variant>
      <vt:variant>
        <vt:i4>0</vt:i4>
      </vt:variant>
      <vt:variant>
        <vt:i4>5</vt:i4>
      </vt:variant>
      <vt:variant>
        <vt:lpwstr/>
      </vt:variant>
      <vt:variant>
        <vt:lpwstr>_Toc2609205</vt:lpwstr>
      </vt:variant>
      <vt:variant>
        <vt:i4>2621440</vt:i4>
      </vt:variant>
      <vt:variant>
        <vt:i4>56</vt:i4>
      </vt:variant>
      <vt:variant>
        <vt:i4>0</vt:i4>
      </vt:variant>
      <vt:variant>
        <vt:i4>5</vt:i4>
      </vt:variant>
      <vt:variant>
        <vt:lpwstr/>
      </vt:variant>
      <vt:variant>
        <vt:lpwstr>_Toc2609204</vt:lpwstr>
      </vt:variant>
      <vt:variant>
        <vt:i4>2621440</vt:i4>
      </vt:variant>
      <vt:variant>
        <vt:i4>50</vt:i4>
      </vt:variant>
      <vt:variant>
        <vt:i4>0</vt:i4>
      </vt:variant>
      <vt:variant>
        <vt:i4>5</vt:i4>
      </vt:variant>
      <vt:variant>
        <vt:lpwstr/>
      </vt:variant>
      <vt:variant>
        <vt:lpwstr>_Toc2609203</vt:lpwstr>
      </vt:variant>
      <vt:variant>
        <vt:i4>2621440</vt:i4>
      </vt:variant>
      <vt:variant>
        <vt:i4>44</vt:i4>
      </vt:variant>
      <vt:variant>
        <vt:i4>0</vt:i4>
      </vt:variant>
      <vt:variant>
        <vt:i4>5</vt:i4>
      </vt:variant>
      <vt:variant>
        <vt:lpwstr/>
      </vt:variant>
      <vt:variant>
        <vt:lpwstr>_Toc2609202</vt:lpwstr>
      </vt:variant>
      <vt:variant>
        <vt:i4>2621440</vt:i4>
      </vt:variant>
      <vt:variant>
        <vt:i4>38</vt:i4>
      </vt:variant>
      <vt:variant>
        <vt:i4>0</vt:i4>
      </vt:variant>
      <vt:variant>
        <vt:i4>5</vt:i4>
      </vt:variant>
      <vt:variant>
        <vt:lpwstr/>
      </vt:variant>
      <vt:variant>
        <vt:lpwstr>_Toc2609201</vt:lpwstr>
      </vt:variant>
      <vt:variant>
        <vt:i4>2621440</vt:i4>
      </vt:variant>
      <vt:variant>
        <vt:i4>32</vt:i4>
      </vt:variant>
      <vt:variant>
        <vt:i4>0</vt:i4>
      </vt:variant>
      <vt:variant>
        <vt:i4>5</vt:i4>
      </vt:variant>
      <vt:variant>
        <vt:lpwstr/>
      </vt:variant>
      <vt:variant>
        <vt:lpwstr>_Toc2609200</vt:lpwstr>
      </vt:variant>
      <vt:variant>
        <vt:i4>2162691</vt:i4>
      </vt:variant>
      <vt:variant>
        <vt:i4>26</vt:i4>
      </vt:variant>
      <vt:variant>
        <vt:i4>0</vt:i4>
      </vt:variant>
      <vt:variant>
        <vt:i4>5</vt:i4>
      </vt:variant>
      <vt:variant>
        <vt:lpwstr/>
      </vt:variant>
      <vt:variant>
        <vt:lpwstr>_Toc2609199</vt:lpwstr>
      </vt:variant>
      <vt:variant>
        <vt:i4>2162691</vt:i4>
      </vt:variant>
      <vt:variant>
        <vt:i4>20</vt:i4>
      </vt:variant>
      <vt:variant>
        <vt:i4>0</vt:i4>
      </vt:variant>
      <vt:variant>
        <vt:i4>5</vt:i4>
      </vt:variant>
      <vt:variant>
        <vt:lpwstr/>
      </vt:variant>
      <vt:variant>
        <vt:lpwstr>_Toc2609198</vt:lpwstr>
      </vt:variant>
      <vt:variant>
        <vt:i4>2162691</vt:i4>
      </vt:variant>
      <vt:variant>
        <vt:i4>14</vt:i4>
      </vt:variant>
      <vt:variant>
        <vt:i4>0</vt:i4>
      </vt:variant>
      <vt:variant>
        <vt:i4>5</vt:i4>
      </vt:variant>
      <vt:variant>
        <vt:lpwstr/>
      </vt:variant>
      <vt:variant>
        <vt:lpwstr>_Toc2609197</vt:lpwstr>
      </vt:variant>
      <vt:variant>
        <vt:i4>2162691</vt:i4>
      </vt:variant>
      <vt:variant>
        <vt:i4>8</vt:i4>
      </vt:variant>
      <vt:variant>
        <vt:i4>0</vt:i4>
      </vt:variant>
      <vt:variant>
        <vt:i4>5</vt:i4>
      </vt:variant>
      <vt:variant>
        <vt:lpwstr/>
      </vt:variant>
      <vt:variant>
        <vt:lpwstr>_Toc2609196</vt:lpwstr>
      </vt:variant>
      <vt:variant>
        <vt:i4>2162691</vt:i4>
      </vt:variant>
      <vt:variant>
        <vt:i4>2</vt:i4>
      </vt:variant>
      <vt:variant>
        <vt:i4>0</vt:i4>
      </vt:variant>
      <vt:variant>
        <vt:i4>5</vt:i4>
      </vt:variant>
      <vt:variant>
        <vt:lpwstr/>
      </vt:variant>
      <vt:variant>
        <vt:lpwstr>_Toc2609195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sulla gestione del bilancio</dc:title>
  <dc:creator>A</dc:creator>
  <cp:lastModifiedBy>RodlerElisa</cp:lastModifiedBy>
  <cp:revision>2</cp:revision>
  <cp:lastPrinted>2020-02-28T09:36:00Z</cp:lastPrinted>
  <dcterms:created xsi:type="dcterms:W3CDTF">2022-04-28T10:42:00Z</dcterms:created>
  <dcterms:modified xsi:type="dcterms:W3CDTF">2022-04-28T10:42:00Z</dcterms:modified>
</cp:coreProperties>
</file>